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A1627" w14:textId="08DBF6D7" w:rsidR="00724600" w:rsidRPr="00471DC7" w:rsidRDefault="00724600" w:rsidP="00724600">
      <w:pPr>
        <w:spacing w:after="0" w:line="240" w:lineRule="auto"/>
        <w:jc w:val="center"/>
        <w:rPr>
          <w:rFonts w:ascii="Arial" w:hAnsi="Arial" w:cs="Arial"/>
          <w:i/>
          <w:iCs/>
          <w:color w:val="002060"/>
          <w:sz w:val="28"/>
          <w:szCs w:val="28"/>
        </w:rPr>
      </w:pPr>
      <w:r w:rsidRPr="00471DC7">
        <w:rPr>
          <w:b/>
          <w:bCs/>
          <w:i/>
          <w:iCs/>
          <w:color w:val="002060"/>
          <w:sz w:val="32"/>
          <w:szCs w:val="32"/>
        </w:rPr>
        <w:t>Sample Letter of Medical Necessity</w:t>
      </w:r>
      <w:r w:rsidR="00471DC7" w:rsidRPr="00471DC7">
        <w:rPr>
          <w:b/>
          <w:bCs/>
          <w:i/>
          <w:iCs/>
          <w:color w:val="002060"/>
          <w:sz w:val="32"/>
          <w:szCs w:val="32"/>
        </w:rPr>
        <w:t xml:space="preserve"> </w:t>
      </w:r>
      <w:r w:rsidRPr="00471DC7">
        <w:rPr>
          <w:b/>
          <w:bCs/>
          <w:i/>
          <w:iCs/>
          <w:color w:val="002060"/>
          <w:sz w:val="32"/>
          <w:szCs w:val="32"/>
        </w:rPr>
        <w:t xml:space="preserve">for a </w:t>
      </w:r>
      <w:r w:rsidR="00474C6C">
        <w:rPr>
          <w:b/>
          <w:bCs/>
          <w:i/>
          <w:iCs/>
          <w:color w:val="002060"/>
          <w:sz w:val="32"/>
          <w:szCs w:val="32"/>
        </w:rPr>
        <w:t>Treatment-Naïve Patient</w:t>
      </w:r>
    </w:p>
    <w:p w14:paraId="40DC58C9" w14:textId="77777777" w:rsidR="00F86F11" w:rsidRDefault="00F86F11" w:rsidP="00DB64EB">
      <w:pPr>
        <w:pStyle w:val="Footer"/>
        <w:rPr>
          <w:rFonts w:cstheme="minorHAnsi"/>
          <w:color w:val="CC0099"/>
        </w:rPr>
        <w:sectPr w:rsidR="00F86F11" w:rsidSect="00270E8D">
          <w:footerReference w:type="default" r:id="rId7"/>
          <w:footerReference w:type="first" r:id="rId8"/>
          <w:type w:val="continuous"/>
          <w:pgSz w:w="12240" w:h="15840"/>
          <w:pgMar w:top="720" w:right="720" w:bottom="720" w:left="720" w:header="720" w:footer="288" w:gutter="0"/>
          <w:cols w:space="720"/>
          <w:titlePg/>
          <w:docGrid w:linePitch="360"/>
        </w:sectPr>
      </w:pPr>
    </w:p>
    <w:p w14:paraId="089290D6" w14:textId="77777777" w:rsidR="008F1F76" w:rsidRDefault="008F1F76" w:rsidP="00DB64EB">
      <w:pPr>
        <w:pStyle w:val="Footer"/>
        <w:rPr>
          <w:rFonts w:cstheme="minorHAnsi"/>
          <w:color w:val="CC0099"/>
          <w:sz w:val="21"/>
          <w:szCs w:val="21"/>
        </w:rPr>
        <w:sectPr w:rsidR="008F1F76" w:rsidSect="001B1275">
          <w:type w:val="continuous"/>
          <w:pgSz w:w="12240" w:h="15840"/>
          <w:pgMar w:top="720" w:right="720" w:bottom="720" w:left="720" w:header="720" w:footer="720" w:gutter="0"/>
          <w:cols w:num="2" w:space="720"/>
          <w:docGrid w:linePitch="360"/>
        </w:sectPr>
      </w:pPr>
    </w:p>
    <w:p w14:paraId="7A3EA939" w14:textId="232B9C8E" w:rsidR="0002618E" w:rsidRPr="00E17A20" w:rsidRDefault="0002618E" w:rsidP="0002618E">
      <w:pPr>
        <w:spacing w:after="0" w:line="240" w:lineRule="auto"/>
        <w:contextualSpacing/>
        <w:jc w:val="both"/>
        <w:rPr>
          <w:rFonts w:cstheme="minorHAnsi"/>
          <w:b/>
          <w:bCs/>
          <w:sz w:val="16"/>
          <w:szCs w:val="16"/>
        </w:rPr>
      </w:pPr>
      <w:r w:rsidRPr="00E44422">
        <w:rPr>
          <w:rFonts w:cstheme="minorHAnsi"/>
          <w:b/>
          <w:bCs/>
          <w:color w:val="000000" w:themeColor="text1"/>
          <w:sz w:val="16"/>
          <w:szCs w:val="16"/>
        </w:rPr>
        <w:t>Note:</w:t>
      </w:r>
      <w:r w:rsidRPr="00E44422">
        <w:rPr>
          <w:rFonts w:cstheme="minorHAnsi"/>
          <w:color w:val="000000" w:themeColor="text1"/>
          <w:sz w:val="16"/>
          <w:szCs w:val="16"/>
        </w:rPr>
        <w:t xml:space="preserve"> </w:t>
      </w:r>
      <w:r w:rsidRPr="00E17A20">
        <w:rPr>
          <w:rFonts w:cstheme="minorHAnsi"/>
          <w:b/>
          <w:bCs/>
          <w:color w:val="000000" w:themeColor="text1"/>
          <w:sz w:val="16"/>
          <w:szCs w:val="16"/>
        </w:rPr>
        <w:t>the sample letter below is for your reference only and is intended to be</w:t>
      </w:r>
      <w:r w:rsidRPr="00E17A20">
        <w:rPr>
          <w:rFonts w:cstheme="minorHAnsi"/>
          <w:b/>
          <w:bCs/>
          <w:sz w:val="16"/>
          <w:szCs w:val="16"/>
        </w:rPr>
        <w:t xml:space="preserve"> customized for individual patients </w:t>
      </w:r>
      <w:r w:rsidR="00B6391B">
        <w:rPr>
          <w:rFonts w:cstheme="minorHAnsi"/>
          <w:b/>
          <w:bCs/>
          <w:sz w:val="16"/>
          <w:szCs w:val="16"/>
        </w:rPr>
        <w:t>starting</w:t>
      </w:r>
      <w:r w:rsidRPr="00E17A20">
        <w:rPr>
          <w:rFonts w:cstheme="minorHAnsi"/>
          <w:b/>
          <w:bCs/>
          <w:sz w:val="16"/>
          <w:szCs w:val="16"/>
        </w:rPr>
        <w:t xml:space="preserve"> treatment for relapsing multiple sclerosis (RMS) based upon your independent clinical evaluation and medical judgment. The Important Safety Information does not need to be included as part of your letter.</w:t>
      </w:r>
    </w:p>
    <w:p w14:paraId="50EEDCBA" w14:textId="77777777" w:rsidR="0002618E" w:rsidRPr="00852B13" w:rsidRDefault="0002618E" w:rsidP="0002618E">
      <w:pPr>
        <w:spacing w:after="0" w:line="240" w:lineRule="auto"/>
        <w:contextualSpacing/>
        <w:jc w:val="both"/>
        <w:rPr>
          <w:rFonts w:cstheme="minorHAnsi"/>
          <w:sz w:val="12"/>
          <w:szCs w:val="12"/>
        </w:rPr>
      </w:pPr>
    </w:p>
    <w:p w14:paraId="7696B07F" w14:textId="77777777" w:rsidR="0002618E" w:rsidRPr="00F90765" w:rsidRDefault="0002618E" w:rsidP="0002618E">
      <w:pPr>
        <w:spacing w:after="0" w:line="240" w:lineRule="auto"/>
        <w:contextualSpacing/>
        <w:jc w:val="both"/>
        <w:rPr>
          <w:rFonts w:cstheme="minorHAnsi"/>
        </w:rPr>
        <w:sectPr w:rsidR="0002618E" w:rsidRPr="00F90765" w:rsidSect="0002618E">
          <w:footerReference w:type="first" r:id="rId9"/>
          <w:type w:val="continuous"/>
          <w:pgSz w:w="12240" w:h="15840"/>
          <w:pgMar w:top="720" w:right="576" w:bottom="720" w:left="576" w:header="720" w:footer="288" w:gutter="0"/>
          <w:cols w:space="720"/>
          <w:titlePg/>
          <w:docGrid w:linePitch="360"/>
        </w:sectPr>
      </w:pPr>
    </w:p>
    <w:p w14:paraId="0DFDEBAE" w14:textId="77777777" w:rsidR="0002618E" w:rsidRPr="00FD4755" w:rsidRDefault="0002618E" w:rsidP="0002618E">
      <w:pPr>
        <w:pStyle w:val="Footer"/>
        <w:tabs>
          <w:tab w:val="clear" w:pos="4680"/>
          <w:tab w:val="clear" w:pos="9360"/>
          <w:tab w:val="right" w:pos="10800"/>
        </w:tabs>
        <w:rPr>
          <w:b/>
          <w:bCs/>
        </w:rPr>
      </w:pPr>
      <w:r w:rsidRPr="00FD4755">
        <w:rPr>
          <w:b/>
          <w:bCs/>
          <w:color w:val="0070C0"/>
        </w:rPr>
        <w:t>INDICATION</w:t>
      </w:r>
      <w:r w:rsidRPr="00FD4755">
        <w:rPr>
          <w:b/>
          <w:bCs/>
        </w:rPr>
        <w:tab/>
      </w:r>
    </w:p>
    <w:p w14:paraId="61472948" w14:textId="77777777" w:rsidR="0002618E" w:rsidRPr="00EF4FD1" w:rsidRDefault="0002618E" w:rsidP="0002618E">
      <w:pPr>
        <w:pStyle w:val="Footer"/>
        <w:rPr>
          <w:sz w:val="18"/>
          <w:szCs w:val="18"/>
        </w:rPr>
      </w:pPr>
      <w:r w:rsidRPr="00EF4FD1">
        <w:rPr>
          <w:sz w:val="18"/>
          <w:szCs w:val="18"/>
        </w:rPr>
        <w:t>TYSABRI® (natalizumab) is indicated as monotherapy for the treatment of relapsing forms of multiple sclerosis, to include clinically isolated syndrome, relapsing-remitting disease, and active secondary progressive disease, in adults. TYSABRI increases the risk of PML. When initiating and continuing treatment with TYSABRI, physicians should consider whether the expected benefit of TYSABRI is sufficient to offset this risk.</w:t>
      </w:r>
    </w:p>
    <w:p w14:paraId="02079C68" w14:textId="77777777" w:rsidR="0002618E" w:rsidRPr="00852B13" w:rsidRDefault="0002618E" w:rsidP="0002618E">
      <w:pPr>
        <w:pStyle w:val="Footer"/>
        <w:rPr>
          <w:sz w:val="10"/>
          <w:szCs w:val="10"/>
        </w:rPr>
      </w:pPr>
    </w:p>
    <w:p w14:paraId="7907EECF" w14:textId="77777777" w:rsidR="0002618E" w:rsidRPr="00FD4755" w:rsidRDefault="0002618E" w:rsidP="0002618E">
      <w:pPr>
        <w:pStyle w:val="Footer"/>
        <w:contextualSpacing/>
        <w:rPr>
          <w:b/>
          <w:bCs/>
          <w:color w:val="0070C0"/>
        </w:rPr>
      </w:pPr>
      <w:r w:rsidRPr="00FD4755">
        <w:rPr>
          <w:b/>
          <w:bCs/>
          <w:color w:val="0070C0"/>
        </w:rPr>
        <w:t>IMPORTANT SAFETY INFORMATION</w:t>
      </w:r>
    </w:p>
    <w:p w14:paraId="406181C6" w14:textId="77777777" w:rsidR="0002618E" w:rsidRDefault="0002618E" w:rsidP="0002618E">
      <w:pPr>
        <w:spacing w:after="0" w:line="240" w:lineRule="auto"/>
        <w:contextualSpacing/>
        <w:rPr>
          <w:rFonts w:cstheme="minorHAnsi"/>
          <w:b/>
          <w:bCs/>
          <w:color w:val="000000" w:themeColor="text1"/>
          <w:sz w:val="18"/>
          <w:szCs w:val="18"/>
        </w:rPr>
      </w:pPr>
      <w:r w:rsidRPr="00EF4FD1">
        <w:rPr>
          <w:rFonts w:cstheme="minorHAnsi"/>
          <w:b/>
          <w:bCs/>
          <w:color w:val="000000" w:themeColor="text1"/>
          <w:sz w:val="18"/>
          <w:szCs w:val="18"/>
        </w:rPr>
        <w:t>WARNING: Progressive Multifocal Leukoencephalopathy (PML)</w:t>
      </w:r>
    </w:p>
    <w:p w14:paraId="77BC5C2C" w14:textId="77777777" w:rsidR="0002618E" w:rsidRPr="002D71D8" w:rsidRDefault="0002618E" w:rsidP="0002618E">
      <w:pPr>
        <w:spacing w:after="0" w:line="240" w:lineRule="auto"/>
        <w:contextualSpacing/>
        <w:rPr>
          <w:rFonts w:cstheme="minorHAnsi"/>
          <w:b/>
          <w:bCs/>
          <w:color w:val="000000" w:themeColor="text1"/>
          <w:sz w:val="12"/>
          <w:szCs w:val="12"/>
        </w:rPr>
      </w:pPr>
    </w:p>
    <w:p w14:paraId="1028FC9F" w14:textId="77777777" w:rsidR="0002618E" w:rsidRDefault="0002618E" w:rsidP="0002618E">
      <w:pPr>
        <w:spacing w:before="240" w:after="0" w:line="240" w:lineRule="auto"/>
        <w:contextualSpacing/>
        <w:rPr>
          <w:rFonts w:cstheme="minorHAnsi"/>
          <w:color w:val="000000" w:themeColor="text1"/>
          <w:sz w:val="18"/>
          <w:szCs w:val="18"/>
        </w:rPr>
      </w:pPr>
      <w:r w:rsidRPr="00EF4FD1">
        <w:rPr>
          <w:rFonts w:cstheme="minorHAnsi"/>
          <w:b/>
          <w:bCs/>
          <w:color w:val="000000" w:themeColor="text1"/>
          <w:sz w:val="18"/>
          <w:szCs w:val="18"/>
        </w:rPr>
        <w:t>TYSABRI® (natalizumab) increases the risk of PML, an opportunistic viral infection of the brain that usually leads to death or severe disability. Risk factors for the development of PML include the presence of anti-JCV antibodies, duration of therapy, and prior use of immunosuppressants. These factors should be considered in the context of expected benefit when initiating and continuing treatment with TYSABRI.</w:t>
      </w:r>
    </w:p>
    <w:p w14:paraId="0F702453" w14:textId="77777777" w:rsidR="0002618E" w:rsidRPr="002D71D8" w:rsidRDefault="0002618E" w:rsidP="0002618E">
      <w:pPr>
        <w:spacing w:before="240" w:after="0" w:line="240" w:lineRule="auto"/>
        <w:contextualSpacing/>
        <w:rPr>
          <w:rFonts w:cstheme="minorHAnsi"/>
          <w:b/>
          <w:bCs/>
          <w:color w:val="000000" w:themeColor="text1"/>
          <w:sz w:val="12"/>
          <w:szCs w:val="12"/>
        </w:rPr>
      </w:pPr>
    </w:p>
    <w:p w14:paraId="5C2E3F58" w14:textId="77777777" w:rsidR="0002618E" w:rsidRPr="00EF4FD1" w:rsidRDefault="0002618E" w:rsidP="0002618E">
      <w:pPr>
        <w:spacing w:before="240" w:after="0" w:line="240" w:lineRule="auto"/>
        <w:contextualSpacing/>
        <w:rPr>
          <w:rFonts w:cstheme="minorHAnsi"/>
          <w:color w:val="000000" w:themeColor="text1"/>
          <w:sz w:val="18"/>
          <w:szCs w:val="18"/>
        </w:rPr>
      </w:pPr>
      <w:r w:rsidRPr="00EF4FD1">
        <w:rPr>
          <w:rFonts w:cstheme="minorHAnsi"/>
          <w:b/>
          <w:bCs/>
          <w:color w:val="000000" w:themeColor="text1"/>
          <w:sz w:val="18"/>
          <w:szCs w:val="18"/>
        </w:rPr>
        <w:t xml:space="preserve">Healthcare professionals should monitor patients on TYSABRI for any new sign or symptom that may be suggestive of PML. TYSABRI dosing should be withheld immediately at the first sign or symptom suggestive of PML. For diagnosis, an evaluation including a gadolinium-enhanced MRI scan of the brain and, when indicated, cerebrospinal fluid analysis for JC viral DNA </w:t>
      </w:r>
      <w:proofErr w:type="gramStart"/>
      <w:r w:rsidRPr="00EF4FD1">
        <w:rPr>
          <w:rFonts w:cstheme="minorHAnsi"/>
          <w:b/>
          <w:bCs/>
          <w:color w:val="000000" w:themeColor="text1"/>
          <w:sz w:val="18"/>
          <w:szCs w:val="18"/>
        </w:rPr>
        <w:t>are</w:t>
      </w:r>
      <w:proofErr w:type="gramEnd"/>
      <w:r w:rsidRPr="00EF4FD1">
        <w:rPr>
          <w:rFonts w:cstheme="minorHAnsi"/>
          <w:b/>
          <w:bCs/>
          <w:color w:val="000000" w:themeColor="text1"/>
          <w:sz w:val="18"/>
          <w:szCs w:val="18"/>
        </w:rPr>
        <w:t xml:space="preserve"> recommended.</w:t>
      </w:r>
    </w:p>
    <w:p w14:paraId="7540FFD6" w14:textId="77777777" w:rsidR="0002618E" w:rsidRPr="002D71D8" w:rsidRDefault="0002618E" w:rsidP="0002618E">
      <w:pPr>
        <w:spacing w:after="0" w:line="240" w:lineRule="auto"/>
        <w:rPr>
          <w:rFonts w:cstheme="minorHAnsi"/>
          <w:b/>
          <w:bCs/>
          <w:color w:val="000000" w:themeColor="text1"/>
          <w:sz w:val="12"/>
          <w:szCs w:val="12"/>
        </w:rPr>
      </w:pPr>
    </w:p>
    <w:p w14:paraId="59A3B205" w14:textId="77777777" w:rsidR="0002618E" w:rsidRDefault="0002618E" w:rsidP="0002618E">
      <w:pPr>
        <w:spacing w:after="0" w:line="240" w:lineRule="auto"/>
        <w:rPr>
          <w:rFonts w:cstheme="minorHAnsi"/>
          <w:b/>
          <w:bCs/>
          <w:color w:val="000000" w:themeColor="text1"/>
          <w:sz w:val="18"/>
          <w:szCs w:val="18"/>
        </w:rPr>
      </w:pPr>
      <w:r w:rsidRPr="00EF4FD1">
        <w:rPr>
          <w:rFonts w:cstheme="minorHAnsi"/>
          <w:b/>
          <w:bCs/>
          <w:color w:val="000000" w:themeColor="text1"/>
          <w:sz w:val="18"/>
          <w:szCs w:val="18"/>
        </w:rPr>
        <w:t>Because of the risk of PML, TYSABRI is available only through a restricted program under a Risk Evaluation and Mitigation Strategy (REMS) called the TOUCH</w:t>
      </w:r>
      <w:r w:rsidRPr="00EF4FD1">
        <w:rPr>
          <w:rFonts w:cstheme="minorHAnsi"/>
          <w:b/>
          <w:bCs/>
          <w:color w:val="000000" w:themeColor="text1"/>
          <w:sz w:val="18"/>
          <w:szCs w:val="18"/>
          <w:vertAlign w:val="superscript"/>
        </w:rPr>
        <w:t>®</w:t>
      </w:r>
      <w:r w:rsidRPr="00EF4FD1">
        <w:rPr>
          <w:rFonts w:cstheme="minorHAnsi"/>
          <w:b/>
          <w:bCs/>
          <w:color w:val="000000" w:themeColor="text1"/>
          <w:sz w:val="18"/>
          <w:szCs w:val="18"/>
        </w:rPr>
        <w:t> Prescribing Program.</w:t>
      </w:r>
    </w:p>
    <w:p w14:paraId="77F15EA0" w14:textId="77777777" w:rsidR="0002618E" w:rsidRPr="00A861D1" w:rsidRDefault="0002618E" w:rsidP="0002618E">
      <w:pPr>
        <w:spacing w:after="0" w:line="240" w:lineRule="auto"/>
        <w:rPr>
          <w:rFonts w:cstheme="minorHAnsi"/>
          <w:b/>
          <w:bCs/>
          <w:color w:val="000000" w:themeColor="text1"/>
          <w:sz w:val="10"/>
          <w:szCs w:val="10"/>
        </w:rPr>
      </w:pPr>
    </w:p>
    <w:p w14:paraId="01C82726" w14:textId="77777777" w:rsidR="0002618E" w:rsidRPr="00EF4FD1" w:rsidRDefault="0002618E" w:rsidP="0002618E">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Infection by the JC Virus (JCV) is required for the development of PML</w:t>
      </w:r>
    </w:p>
    <w:p w14:paraId="76929C91" w14:textId="77777777" w:rsidR="0002618E" w:rsidRPr="00EF4FD1" w:rsidRDefault="0002618E" w:rsidP="0002618E">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There are no known interventions that can reliably prevent PML or that can adequately treat PML if it occurs</w:t>
      </w:r>
    </w:p>
    <w:p w14:paraId="718D569E" w14:textId="77777777" w:rsidR="0002618E" w:rsidRPr="00EF4FD1" w:rsidRDefault="0002618E" w:rsidP="0002618E">
      <w:pPr>
        <w:numPr>
          <w:ilvl w:val="0"/>
          <w:numId w:val="21"/>
        </w:numPr>
        <w:spacing w:after="0" w:line="240" w:lineRule="auto"/>
        <w:ind w:left="504"/>
        <w:rPr>
          <w:rFonts w:cstheme="minorHAnsi"/>
          <w:color w:val="000000" w:themeColor="text1"/>
          <w:sz w:val="20"/>
          <w:szCs w:val="20"/>
        </w:rPr>
      </w:pPr>
      <w:proofErr w:type="spellStart"/>
      <w:r w:rsidRPr="00EF4FD1">
        <w:rPr>
          <w:rFonts w:cstheme="minorHAnsi"/>
          <w:color w:val="000000" w:themeColor="text1"/>
          <w:sz w:val="18"/>
          <w:szCs w:val="18"/>
        </w:rPr>
        <w:t>Postmarketing</w:t>
      </w:r>
      <w:proofErr w:type="spellEnd"/>
      <w:r w:rsidRPr="00EF4FD1">
        <w:rPr>
          <w:rFonts w:cstheme="minorHAnsi"/>
          <w:color w:val="000000" w:themeColor="text1"/>
          <w:sz w:val="18"/>
          <w:szCs w:val="18"/>
        </w:rPr>
        <w:t xml:space="preserve"> data suggest that the risk of developing PML may be associated with relative levels of serum </w:t>
      </w:r>
      <w:r w:rsidRPr="00EF4FD1">
        <w:rPr>
          <w:rFonts w:cstheme="minorHAnsi"/>
          <w:color w:val="000000" w:themeColor="text1"/>
          <w:sz w:val="18"/>
          <w:szCs w:val="18"/>
        </w:rPr>
        <w:br/>
        <w:t xml:space="preserve">anti-JCV antibody compared to a calibrator as measured by ELISA (often described as an anti-JCV antibody </w:t>
      </w:r>
      <w:r w:rsidRPr="00EF4FD1">
        <w:rPr>
          <w:rFonts w:cstheme="minorHAnsi"/>
          <w:color w:val="000000" w:themeColor="text1"/>
          <w:sz w:val="18"/>
          <w:szCs w:val="18"/>
        </w:rPr>
        <w:br/>
        <w:t>index value)</w:t>
      </w:r>
    </w:p>
    <w:p w14:paraId="5640EA8D" w14:textId="77777777" w:rsidR="0002618E" w:rsidRPr="00EF4FD1" w:rsidRDefault="0002618E" w:rsidP="0002618E">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MRI findings may be apparent before clinical signs or symptoms suggestive of PML. Monitoring with MRI for signs that may be consistent with PML may be useful, and any suspicious findings should lead to further investigation to allow for an early</w:t>
      </w:r>
      <w:r>
        <w:rPr>
          <w:rFonts w:cstheme="minorHAnsi"/>
          <w:color w:val="000000" w:themeColor="text1"/>
          <w:sz w:val="18"/>
          <w:szCs w:val="18"/>
        </w:rPr>
        <w:t xml:space="preserve"> </w:t>
      </w:r>
      <w:r w:rsidRPr="00EF4FD1">
        <w:rPr>
          <w:rFonts w:cstheme="minorHAnsi"/>
          <w:color w:val="000000" w:themeColor="text1"/>
          <w:sz w:val="18"/>
          <w:szCs w:val="18"/>
        </w:rPr>
        <w:t>diagnosis of PML, if present. Consider monitoring patients at high risk for PML more frequently. Lower PML-related mortality and morbidity have been reported following TYSABRI discontinuation in patients with PML who were initially asymptomatic compared to</w:t>
      </w:r>
      <w:r>
        <w:rPr>
          <w:rFonts w:cstheme="minorHAnsi"/>
          <w:color w:val="000000" w:themeColor="text1"/>
          <w:sz w:val="18"/>
          <w:szCs w:val="18"/>
        </w:rPr>
        <w:t xml:space="preserve"> </w:t>
      </w:r>
      <w:r w:rsidRPr="00EF4FD1">
        <w:rPr>
          <w:rFonts w:cstheme="minorHAnsi"/>
          <w:color w:val="000000" w:themeColor="text1"/>
          <w:sz w:val="18"/>
          <w:szCs w:val="18"/>
        </w:rPr>
        <w:t>patients with PML who had characteristic clinical signs and symptoms at diagnosis</w:t>
      </w:r>
    </w:p>
    <w:p w14:paraId="13730681" w14:textId="77777777" w:rsidR="0002618E" w:rsidRPr="00EF4FD1" w:rsidRDefault="0002618E" w:rsidP="0002618E">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PML has been reported after discontinuation of TYSABRI in patients who did not have findings suggestive of PML at the time of discontinuation. Patients should continue to be monitored for any new signs or symptoms that may be suggestive of PML for at least 6 months after discontinuation of TYSABRI</w:t>
      </w:r>
    </w:p>
    <w:p w14:paraId="3ECD5031" w14:textId="77777777" w:rsidR="0002618E" w:rsidRPr="00EF4FD1" w:rsidRDefault="0002618E" w:rsidP="0002618E">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Adverse events that may occur during plasma exchange (PLEX) include clearance of other medications and volume shifts, which have the potential to lead to hypotension or pulmonary edema. Although PLEX has not been prospectively studied in</w:t>
      </w:r>
      <w:r>
        <w:rPr>
          <w:rFonts w:cstheme="minorHAnsi"/>
          <w:color w:val="000000" w:themeColor="text1"/>
          <w:sz w:val="18"/>
          <w:szCs w:val="18"/>
        </w:rPr>
        <w:t xml:space="preserve"> T</w:t>
      </w:r>
      <w:r w:rsidRPr="00EF4FD1">
        <w:rPr>
          <w:rFonts w:cstheme="minorHAnsi"/>
          <w:color w:val="000000" w:themeColor="text1"/>
          <w:sz w:val="18"/>
          <w:szCs w:val="18"/>
        </w:rPr>
        <w:t>YSABRI-</w:t>
      </w:r>
      <w:r w:rsidRPr="00EF4FD1">
        <w:rPr>
          <w:rFonts w:cstheme="minorHAnsi"/>
          <w:color w:val="000000" w:themeColor="text1"/>
          <w:sz w:val="18"/>
          <w:szCs w:val="18"/>
        </w:rPr>
        <w:t xml:space="preserve">treated patients with PML, it has been used in such patients in the </w:t>
      </w:r>
      <w:proofErr w:type="spellStart"/>
      <w:r w:rsidRPr="00EF4FD1">
        <w:rPr>
          <w:rFonts w:cstheme="minorHAnsi"/>
          <w:color w:val="000000" w:themeColor="text1"/>
          <w:sz w:val="18"/>
          <w:szCs w:val="18"/>
        </w:rPr>
        <w:t>postmarketing</w:t>
      </w:r>
      <w:proofErr w:type="spellEnd"/>
      <w:r w:rsidRPr="00EF4FD1">
        <w:rPr>
          <w:rFonts w:cstheme="minorHAnsi"/>
          <w:color w:val="000000" w:themeColor="text1"/>
          <w:sz w:val="18"/>
          <w:szCs w:val="18"/>
        </w:rPr>
        <w:t xml:space="preserve"> setting to remove TYSABRI more quickly from the circulation. There is no evidence that PLEX has any benefit in the treatment of opportunistic infections such as PML</w:t>
      </w:r>
    </w:p>
    <w:p w14:paraId="658A2CA8" w14:textId="77777777" w:rsidR="0002618E" w:rsidRPr="00C57966" w:rsidRDefault="0002618E" w:rsidP="0002618E">
      <w:pPr>
        <w:numPr>
          <w:ilvl w:val="0"/>
          <w:numId w:val="21"/>
        </w:numPr>
        <w:spacing w:after="0" w:line="240" w:lineRule="auto"/>
        <w:ind w:left="504"/>
        <w:rPr>
          <w:rFonts w:cstheme="minorHAnsi"/>
          <w:color w:val="000000" w:themeColor="text1"/>
          <w:sz w:val="18"/>
          <w:szCs w:val="18"/>
        </w:rPr>
      </w:pPr>
      <w:r w:rsidRPr="00EF4FD1">
        <w:rPr>
          <w:rFonts w:cstheme="minorHAnsi"/>
          <w:color w:val="000000" w:themeColor="text1"/>
          <w:sz w:val="18"/>
          <w:szCs w:val="18"/>
        </w:rPr>
        <w:t xml:space="preserve">JCV infection of granule cell neurons in the cerebellum, i.e., JCV granule cell </w:t>
      </w:r>
      <w:r w:rsidRPr="00C57966">
        <w:rPr>
          <w:rFonts w:cstheme="minorHAnsi"/>
          <w:color w:val="000000" w:themeColor="text1"/>
          <w:sz w:val="18"/>
          <w:szCs w:val="18"/>
        </w:rPr>
        <w:t xml:space="preserve">neuronopathy (GCN), with symptoms </w:t>
      </w:r>
      <w:proofErr w:type="gramStart"/>
      <w:r w:rsidRPr="00C57966">
        <w:rPr>
          <w:rFonts w:cstheme="minorHAnsi"/>
          <w:color w:val="000000" w:themeColor="text1"/>
          <w:sz w:val="18"/>
          <w:szCs w:val="18"/>
        </w:rPr>
        <w:t>similar to</w:t>
      </w:r>
      <w:proofErr w:type="gramEnd"/>
      <w:r w:rsidRPr="00C57966">
        <w:rPr>
          <w:rFonts w:cstheme="minorHAnsi"/>
          <w:color w:val="000000" w:themeColor="text1"/>
          <w:sz w:val="18"/>
          <w:szCs w:val="18"/>
        </w:rPr>
        <w:t xml:space="preserve"> PML, has been reported in patients treated with TYSABRI. JCV GCN can occur with or without concomitant PML and can cause cerebellar dysfunction. Diagnosis and management of JCV GCN should follow guidance provided for PML</w:t>
      </w:r>
    </w:p>
    <w:p w14:paraId="00E02677" w14:textId="77777777" w:rsidR="0002618E" w:rsidRPr="00034611" w:rsidRDefault="0002618E" w:rsidP="0002618E">
      <w:pPr>
        <w:numPr>
          <w:ilvl w:val="0"/>
          <w:numId w:val="21"/>
        </w:numPr>
        <w:spacing w:after="0" w:line="240" w:lineRule="auto"/>
        <w:ind w:left="504"/>
        <w:rPr>
          <w:rFonts w:cstheme="minorHAnsi"/>
          <w:color w:val="000000" w:themeColor="text1"/>
          <w:sz w:val="18"/>
          <w:szCs w:val="18"/>
        </w:rPr>
      </w:pPr>
      <w:r w:rsidRPr="00C57966">
        <w:rPr>
          <w:rFonts w:cstheme="minorHAnsi"/>
          <w:color w:val="000000" w:themeColor="text1"/>
          <w:sz w:val="18"/>
          <w:szCs w:val="18"/>
        </w:rPr>
        <w:t xml:space="preserve">Immune reconstitution inflammatory syndrome (IRIS) has been reported in </w:t>
      </w:r>
      <w:proofErr w:type="gramStart"/>
      <w:r w:rsidRPr="00C57966">
        <w:rPr>
          <w:rFonts w:cstheme="minorHAnsi"/>
          <w:color w:val="000000" w:themeColor="text1"/>
          <w:sz w:val="18"/>
          <w:szCs w:val="18"/>
        </w:rPr>
        <w:t>the majority of</w:t>
      </w:r>
      <w:proofErr w:type="gramEnd"/>
      <w:r w:rsidRPr="00C57966">
        <w:rPr>
          <w:rFonts w:cstheme="minorHAnsi"/>
          <w:color w:val="000000" w:themeColor="text1"/>
          <w:sz w:val="18"/>
          <w:szCs w:val="18"/>
        </w:rPr>
        <w:t xml:space="preserve"> TYSABRI-treated patients who developed PML and subsequently discontinued TYSABRI. In almost all cases, IRIS occurred after PLEX was used to eliminate circulating TYSABRI. It presents as a clinical decline in the patient’s condition after TYSABRI removal (and, in some cases, after apparent clinical improvement) that may be rapid, can lead to serious neurological complications or death, and is often associated with characteristic changes in the MRI. TYSABRI has not been associated with IRIS in patients discontinuing treatment with TYSABRI for reasons unrelated to PML. In TYSABRI-treated patients with PML, IRIS has been reported within days to several weeks after PLEX. Monitoring for development of IRIS and appropriate treatment of the associated inflammation should be undertaken</w:t>
      </w:r>
    </w:p>
    <w:p w14:paraId="32305941" w14:textId="77777777" w:rsidR="0002618E" w:rsidRPr="00FD4755" w:rsidRDefault="0002618E" w:rsidP="0002618E">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Contraindications</w:t>
      </w:r>
    </w:p>
    <w:p w14:paraId="03DCEB09" w14:textId="77777777" w:rsidR="0002618E" w:rsidRPr="00C57966" w:rsidRDefault="0002618E" w:rsidP="0002618E">
      <w:pPr>
        <w:numPr>
          <w:ilvl w:val="0"/>
          <w:numId w:val="22"/>
        </w:numPr>
        <w:spacing w:after="0" w:line="240" w:lineRule="auto"/>
        <w:ind w:left="504"/>
        <w:rPr>
          <w:rFonts w:cstheme="minorHAnsi"/>
          <w:color w:val="000000" w:themeColor="text1"/>
          <w:sz w:val="18"/>
          <w:szCs w:val="18"/>
        </w:rPr>
      </w:pPr>
      <w:r w:rsidRPr="00C57966">
        <w:rPr>
          <w:rFonts w:cstheme="minorHAnsi"/>
          <w:color w:val="000000" w:themeColor="text1"/>
          <w:sz w:val="18"/>
          <w:szCs w:val="18"/>
        </w:rPr>
        <w:t>TYSABRI is contraindicated in patients who have or have had PML</w:t>
      </w:r>
    </w:p>
    <w:p w14:paraId="4D315DC5" w14:textId="77777777" w:rsidR="0002618E" w:rsidRPr="00034611" w:rsidRDefault="0002618E" w:rsidP="0002618E">
      <w:pPr>
        <w:numPr>
          <w:ilvl w:val="0"/>
          <w:numId w:val="22"/>
        </w:numPr>
        <w:spacing w:after="0" w:line="240" w:lineRule="auto"/>
        <w:ind w:left="504"/>
        <w:rPr>
          <w:rFonts w:cstheme="minorHAnsi"/>
          <w:b/>
          <w:bCs/>
          <w:color w:val="000000" w:themeColor="text1"/>
          <w:sz w:val="18"/>
          <w:szCs w:val="18"/>
        </w:rPr>
      </w:pPr>
      <w:r w:rsidRPr="00C57966">
        <w:rPr>
          <w:rFonts w:cstheme="minorHAnsi"/>
          <w:color w:val="000000" w:themeColor="text1"/>
          <w:sz w:val="18"/>
          <w:szCs w:val="18"/>
        </w:rPr>
        <w:t>TYSABRI is contraindicated in patients who have had a hypersensitivity reaction to TYSABRI</w:t>
      </w:r>
    </w:p>
    <w:p w14:paraId="79E7382D" w14:textId="77777777" w:rsidR="0002618E" w:rsidRPr="00FD4755" w:rsidRDefault="0002618E" w:rsidP="0002618E">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TYSABRI TOUCH Prescribing Program</w:t>
      </w:r>
    </w:p>
    <w:p w14:paraId="36630432" w14:textId="77777777" w:rsidR="0002618E" w:rsidRPr="00C57966" w:rsidRDefault="0002618E" w:rsidP="0002618E">
      <w:pPr>
        <w:numPr>
          <w:ilvl w:val="0"/>
          <w:numId w:val="23"/>
        </w:numPr>
        <w:spacing w:after="0" w:line="240" w:lineRule="auto"/>
        <w:ind w:left="504"/>
        <w:rPr>
          <w:rFonts w:cstheme="minorHAnsi"/>
          <w:color w:val="000000" w:themeColor="text1"/>
          <w:sz w:val="18"/>
          <w:szCs w:val="18"/>
        </w:rPr>
      </w:pPr>
      <w:r w:rsidRPr="00C57966">
        <w:rPr>
          <w:rFonts w:cstheme="minorHAnsi"/>
          <w:color w:val="000000" w:themeColor="text1"/>
          <w:sz w:val="18"/>
          <w:szCs w:val="18"/>
        </w:rPr>
        <w:t>Because of the risk of PML, TYSABRI is available only through a restricted distribution program under a REMS called the TOUCH</w:t>
      </w:r>
      <w:r w:rsidRPr="00C57966">
        <w:rPr>
          <w:rFonts w:cstheme="minorHAnsi"/>
          <w:color w:val="000000" w:themeColor="text1"/>
          <w:sz w:val="18"/>
          <w:szCs w:val="18"/>
          <w:vertAlign w:val="superscript"/>
        </w:rPr>
        <w:t>®</w:t>
      </w:r>
      <w:r w:rsidRPr="00C57966">
        <w:rPr>
          <w:rFonts w:cstheme="minorHAnsi"/>
          <w:color w:val="000000" w:themeColor="text1"/>
          <w:sz w:val="18"/>
          <w:szCs w:val="18"/>
        </w:rPr>
        <w:t> Prescribing Program</w:t>
      </w:r>
    </w:p>
    <w:p w14:paraId="0FA4B0BC" w14:textId="77777777" w:rsidR="0002618E" w:rsidRPr="00034611" w:rsidRDefault="0002618E" w:rsidP="0002618E">
      <w:pPr>
        <w:numPr>
          <w:ilvl w:val="0"/>
          <w:numId w:val="23"/>
        </w:numPr>
        <w:spacing w:after="0" w:line="240" w:lineRule="auto"/>
        <w:ind w:left="504"/>
        <w:rPr>
          <w:rFonts w:cstheme="minorHAnsi"/>
          <w:b/>
          <w:bCs/>
          <w:color w:val="000000" w:themeColor="text1"/>
          <w:sz w:val="18"/>
          <w:szCs w:val="18"/>
        </w:rPr>
      </w:pPr>
      <w:r w:rsidRPr="00C57966">
        <w:rPr>
          <w:rFonts w:cstheme="minorHAnsi"/>
          <w:color w:val="000000" w:themeColor="text1"/>
          <w:sz w:val="18"/>
          <w:szCs w:val="18"/>
        </w:rPr>
        <w:t>Patients must be enrolled in the TOUCH Prescribing Program, read the Medication Guide, understand the risks associated with TYSABRI, and complete and sign the Patient Enrollment Form</w:t>
      </w:r>
    </w:p>
    <w:p w14:paraId="3C1CC31C" w14:textId="77777777" w:rsidR="0002618E" w:rsidRPr="00FD4755" w:rsidRDefault="0002618E" w:rsidP="0002618E">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Herpes Infections – Encephalitis, Meningitis and Acute Retinal Necrosis</w:t>
      </w:r>
    </w:p>
    <w:p w14:paraId="3675E675" w14:textId="77777777" w:rsidR="0002618E" w:rsidRPr="001679F4" w:rsidRDefault="0002618E" w:rsidP="0002618E">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TYSABRI increases the risk of developing encephalitis and meningitis caused by herpes simplex and varicella zoster viruses</w:t>
      </w:r>
    </w:p>
    <w:p w14:paraId="6416F5D0" w14:textId="77777777" w:rsidR="0002618E" w:rsidRPr="001679F4" w:rsidRDefault="0002618E" w:rsidP="0002618E">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 xml:space="preserve">Serious, life-threatening, and sometimes fatal cases have been reported in the </w:t>
      </w:r>
      <w:proofErr w:type="spellStart"/>
      <w:r w:rsidRPr="001679F4">
        <w:rPr>
          <w:rFonts w:cstheme="minorHAnsi"/>
          <w:color w:val="000000" w:themeColor="text1"/>
          <w:sz w:val="18"/>
          <w:szCs w:val="18"/>
        </w:rPr>
        <w:t>postmarketing</w:t>
      </w:r>
      <w:proofErr w:type="spellEnd"/>
      <w:r w:rsidRPr="001679F4">
        <w:rPr>
          <w:rFonts w:cstheme="minorHAnsi"/>
          <w:color w:val="000000" w:themeColor="text1"/>
          <w:sz w:val="18"/>
          <w:szCs w:val="18"/>
        </w:rPr>
        <w:t xml:space="preserve"> setting in multiple sclerosis patients receiving TYSABRI</w:t>
      </w:r>
    </w:p>
    <w:p w14:paraId="5FE10833" w14:textId="77777777" w:rsidR="0002618E" w:rsidRDefault="0002618E" w:rsidP="0002618E">
      <w:pPr>
        <w:numPr>
          <w:ilvl w:val="0"/>
          <w:numId w:val="24"/>
        </w:numPr>
        <w:spacing w:after="0" w:line="240" w:lineRule="auto"/>
        <w:ind w:left="504"/>
        <w:rPr>
          <w:rFonts w:cstheme="minorHAnsi"/>
          <w:color w:val="000000" w:themeColor="text1"/>
          <w:sz w:val="18"/>
          <w:szCs w:val="18"/>
        </w:rPr>
      </w:pPr>
      <w:r w:rsidRPr="00A861D1">
        <w:rPr>
          <w:rFonts w:cstheme="minorHAnsi"/>
          <w:color w:val="000000" w:themeColor="text1"/>
          <w:sz w:val="18"/>
          <w:szCs w:val="18"/>
        </w:rPr>
        <w:t>The duration of treatment with TYSABRI prior to onset ranged from a few months to several years</w:t>
      </w:r>
    </w:p>
    <w:p w14:paraId="57046BFC" w14:textId="77777777" w:rsidR="0002618E" w:rsidRPr="00A861D1" w:rsidRDefault="0002618E" w:rsidP="0002618E">
      <w:pPr>
        <w:numPr>
          <w:ilvl w:val="0"/>
          <w:numId w:val="24"/>
        </w:numPr>
        <w:spacing w:after="0" w:line="240" w:lineRule="auto"/>
        <w:ind w:left="504"/>
        <w:rPr>
          <w:rFonts w:cstheme="minorHAnsi"/>
          <w:color w:val="000000" w:themeColor="text1"/>
          <w:sz w:val="18"/>
          <w:szCs w:val="18"/>
        </w:rPr>
      </w:pPr>
      <w:r w:rsidRPr="00A861D1">
        <w:rPr>
          <w:rFonts w:cstheme="minorHAnsi"/>
          <w:color w:val="000000" w:themeColor="text1"/>
          <w:sz w:val="18"/>
          <w:szCs w:val="18"/>
        </w:rPr>
        <w:t>Monitor patients receiving TYSABRI for signs and symptoms of meningitis and encephalitis. If herpes encephalitis or meningitis occurs, TYSABRI should be discontinued, and appropriate treatment for herpes encephalitis/meningitis should be administered</w:t>
      </w:r>
    </w:p>
    <w:p w14:paraId="5FAF8C1F" w14:textId="77777777" w:rsidR="0002618E" w:rsidRDefault="0002618E" w:rsidP="0002618E">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Patients being administered TYSABRI are at a higher risk of acute retinal necrosis (ARN), a fulminant viral infection of the retina caused by the family of herpes viruses. Patients with eye symptoms such as decreased visual acuity, redness or eye pain</w:t>
      </w:r>
      <w:r>
        <w:rPr>
          <w:rFonts w:cstheme="minorHAnsi"/>
          <w:color w:val="000000" w:themeColor="text1"/>
          <w:sz w:val="18"/>
          <w:szCs w:val="18"/>
        </w:rPr>
        <w:t xml:space="preserve"> </w:t>
      </w:r>
      <w:r w:rsidRPr="001679F4">
        <w:rPr>
          <w:rFonts w:cstheme="minorHAnsi"/>
          <w:color w:val="000000" w:themeColor="text1"/>
          <w:sz w:val="18"/>
          <w:szCs w:val="18"/>
        </w:rPr>
        <w:t>should be referred for retinal screening as serious cases of ARN can lead to blindness of one or both eyes</w:t>
      </w:r>
    </w:p>
    <w:p w14:paraId="6C9F587A" w14:textId="77777777" w:rsidR="0002618E" w:rsidRDefault="0002618E" w:rsidP="0002618E">
      <w:pPr>
        <w:numPr>
          <w:ilvl w:val="0"/>
          <w:numId w:val="24"/>
        </w:numPr>
        <w:spacing w:after="0" w:line="240" w:lineRule="auto"/>
        <w:ind w:left="504"/>
        <w:rPr>
          <w:rFonts w:cstheme="minorHAnsi"/>
          <w:color w:val="000000" w:themeColor="text1"/>
          <w:sz w:val="18"/>
          <w:szCs w:val="18"/>
        </w:rPr>
        <w:sectPr w:rsidR="0002618E" w:rsidSect="0002618E">
          <w:type w:val="continuous"/>
          <w:pgSz w:w="12240" w:h="15840"/>
          <w:pgMar w:top="720" w:right="576" w:bottom="720" w:left="576" w:header="720" w:footer="720" w:gutter="0"/>
          <w:cols w:num="2" w:space="288"/>
          <w:docGrid w:linePitch="360"/>
        </w:sectPr>
      </w:pPr>
    </w:p>
    <w:p w14:paraId="38122AA5" w14:textId="514DB223" w:rsidR="0002618E" w:rsidRDefault="00203005" w:rsidP="00203005">
      <w:pPr>
        <w:tabs>
          <w:tab w:val="left" w:pos="3675"/>
        </w:tabs>
        <w:spacing w:after="0" w:line="240" w:lineRule="auto"/>
        <w:ind w:left="144"/>
        <w:rPr>
          <w:rFonts w:cstheme="minorHAnsi"/>
          <w:color w:val="000000" w:themeColor="text1"/>
          <w:sz w:val="18"/>
          <w:szCs w:val="18"/>
        </w:rPr>
      </w:pPr>
      <w:r>
        <w:rPr>
          <w:rFonts w:cstheme="minorHAnsi"/>
          <w:color w:val="000000" w:themeColor="text1"/>
          <w:sz w:val="18"/>
          <w:szCs w:val="18"/>
        </w:rPr>
        <w:tab/>
      </w:r>
    </w:p>
    <w:p w14:paraId="2BFACC31" w14:textId="26BB773F" w:rsidR="0002618E" w:rsidRDefault="0002618E" w:rsidP="0002618E">
      <w:pPr>
        <w:spacing w:after="0" w:line="240" w:lineRule="auto"/>
        <w:ind w:left="144"/>
        <w:jc w:val="center"/>
        <w:rPr>
          <w:rFonts w:cstheme="minorHAnsi"/>
          <w:color w:val="000000" w:themeColor="text1"/>
          <w:sz w:val="18"/>
          <w:szCs w:val="18"/>
        </w:rPr>
        <w:sectPr w:rsidR="0002618E" w:rsidSect="0002618E">
          <w:type w:val="continuous"/>
          <w:pgSz w:w="12240" w:h="15840"/>
          <w:pgMar w:top="720" w:right="576" w:bottom="720" w:left="576" w:header="720" w:footer="720" w:gutter="0"/>
          <w:cols w:space="288"/>
          <w:docGrid w:linePitch="360"/>
        </w:sectPr>
      </w:pPr>
      <w:r w:rsidRPr="0067154F">
        <w:rPr>
          <w:rFonts w:cstheme="minorHAnsi"/>
          <w:color w:val="000000" w:themeColor="text1"/>
          <w:sz w:val="18"/>
          <w:szCs w:val="18"/>
        </w:rPr>
        <w:t xml:space="preserve">Please see </w:t>
      </w:r>
      <w:r w:rsidR="003359AE">
        <w:rPr>
          <w:rFonts w:cstheme="minorHAnsi"/>
          <w:color w:val="000000" w:themeColor="text1"/>
          <w:sz w:val="18"/>
          <w:szCs w:val="18"/>
        </w:rPr>
        <w:t>I</w:t>
      </w:r>
      <w:r w:rsidRPr="0067154F">
        <w:rPr>
          <w:rFonts w:cstheme="minorHAnsi"/>
          <w:color w:val="000000" w:themeColor="text1"/>
          <w:sz w:val="18"/>
          <w:szCs w:val="18"/>
        </w:rPr>
        <w:t xml:space="preserve">mportant Safety Information continued on next page and full </w:t>
      </w:r>
      <w:hyperlink r:id="rId10" w:tgtFrame="_blank" w:history="1">
        <w:r w:rsidRPr="00BA54EC">
          <w:rPr>
            <w:rStyle w:val="Hyperlink"/>
            <w:rFonts w:cstheme="minorHAnsi"/>
            <w:b/>
            <w:bCs/>
            <w:sz w:val="18"/>
            <w:szCs w:val="18"/>
          </w:rPr>
          <w:t>Prescribing Information</w:t>
        </w:r>
      </w:hyperlink>
      <w:r w:rsidR="003359AE" w:rsidRPr="003359AE">
        <w:rPr>
          <w:rStyle w:val="Hyperlink"/>
          <w:rFonts w:cstheme="minorHAnsi"/>
          <w:color w:val="auto"/>
          <w:sz w:val="18"/>
          <w:szCs w:val="18"/>
          <w:u w:val="none"/>
        </w:rPr>
        <w:t>,</w:t>
      </w:r>
      <w:r>
        <w:rPr>
          <w:rFonts w:cstheme="minorHAnsi"/>
          <w:color w:val="000000" w:themeColor="text1"/>
          <w:sz w:val="18"/>
          <w:szCs w:val="18"/>
        </w:rPr>
        <w:t xml:space="preserve"> </w:t>
      </w:r>
      <w:r w:rsidRPr="0067154F">
        <w:rPr>
          <w:rFonts w:cstheme="minorHAnsi"/>
          <w:color w:val="000000" w:themeColor="text1"/>
          <w:sz w:val="18"/>
          <w:szCs w:val="18"/>
        </w:rPr>
        <w:t xml:space="preserve">including </w:t>
      </w:r>
      <w:r w:rsidRPr="003359AE">
        <w:rPr>
          <w:rFonts w:cstheme="minorHAnsi"/>
          <w:b/>
          <w:bCs/>
          <w:color w:val="000000" w:themeColor="text1"/>
          <w:sz w:val="18"/>
          <w:szCs w:val="18"/>
        </w:rPr>
        <w:t>Boxed Warning</w:t>
      </w:r>
      <w:r w:rsidRPr="0067154F">
        <w:rPr>
          <w:rFonts w:cstheme="minorHAnsi"/>
          <w:color w:val="000000" w:themeColor="text1"/>
          <w:sz w:val="18"/>
          <w:szCs w:val="18"/>
        </w:rPr>
        <w:t>.</w:t>
      </w:r>
    </w:p>
    <w:p w14:paraId="4F783BE2" w14:textId="77777777" w:rsidR="0002618E" w:rsidRPr="00034611" w:rsidRDefault="0002618E" w:rsidP="0002618E">
      <w:pPr>
        <w:numPr>
          <w:ilvl w:val="0"/>
          <w:numId w:val="24"/>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lastRenderedPageBreak/>
        <w:t>Following clinical diagnosis of ARN, consider discontinuation of TYSABRI</w:t>
      </w:r>
    </w:p>
    <w:p w14:paraId="529E1CE6" w14:textId="77777777" w:rsidR="0002618E" w:rsidRPr="00FD4755" w:rsidRDefault="0002618E" w:rsidP="0002618E">
      <w:pPr>
        <w:keepNext/>
        <w:spacing w:after="0" w:line="240" w:lineRule="auto"/>
        <w:rPr>
          <w:rFonts w:cstheme="minorHAnsi"/>
          <w:b/>
          <w:bCs/>
          <w:color w:val="000000" w:themeColor="text1"/>
          <w:sz w:val="21"/>
          <w:szCs w:val="21"/>
        </w:rPr>
      </w:pPr>
      <w:r w:rsidRPr="00FD4755">
        <w:rPr>
          <w:rFonts w:cstheme="minorHAnsi"/>
          <w:b/>
          <w:bCs/>
          <w:color w:val="000000" w:themeColor="text1"/>
          <w:sz w:val="21"/>
          <w:szCs w:val="21"/>
        </w:rPr>
        <w:t>Hepatotoxicity</w:t>
      </w:r>
    </w:p>
    <w:p w14:paraId="16C78E8E" w14:textId="77777777" w:rsidR="0002618E" w:rsidRPr="001679F4" w:rsidRDefault="0002618E" w:rsidP="0002618E">
      <w:pPr>
        <w:numPr>
          <w:ilvl w:val="0"/>
          <w:numId w:val="25"/>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 xml:space="preserve">Clinically significant liver injury, including acute liver failure requiring transplant, has been reported in patients treated with TYSABRI in the </w:t>
      </w:r>
      <w:proofErr w:type="spellStart"/>
      <w:r w:rsidRPr="001679F4">
        <w:rPr>
          <w:rFonts w:cstheme="minorHAnsi"/>
          <w:color w:val="000000" w:themeColor="text1"/>
          <w:sz w:val="18"/>
          <w:szCs w:val="18"/>
        </w:rPr>
        <w:t>postmarketing</w:t>
      </w:r>
      <w:proofErr w:type="spellEnd"/>
      <w:r w:rsidRPr="001679F4">
        <w:rPr>
          <w:rFonts w:cstheme="minorHAnsi"/>
          <w:color w:val="000000" w:themeColor="text1"/>
          <w:sz w:val="18"/>
          <w:szCs w:val="18"/>
        </w:rPr>
        <w:t xml:space="preserve"> setting</w:t>
      </w:r>
    </w:p>
    <w:p w14:paraId="00B49FC0" w14:textId="77777777" w:rsidR="0002618E" w:rsidRPr="001679F4" w:rsidRDefault="0002618E" w:rsidP="0002618E">
      <w:pPr>
        <w:numPr>
          <w:ilvl w:val="0"/>
          <w:numId w:val="25"/>
        </w:numPr>
        <w:spacing w:after="0" w:line="240" w:lineRule="auto"/>
        <w:ind w:left="504"/>
        <w:rPr>
          <w:rFonts w:cstheme="minorHAnsi"/>
          <w:color w:val="000000" w:themeColor="text1"/>
          <w:sz w:val="18"/>
          <w:szCs w:val="18"/>
        </w:rPr>
      </w:pPr>
      <w:r w:rsidRPr="001679F4">
        <w:rPr>
          <w:rFonts w:cstheme="minorHAnsi"/>
          <w:color w:val="000000" w:themeColor="text1"/>
          <w:sz w:val="18"/>
          <w:szCs w:val="18"/>
        </w:rPr>
        <w:t xml:space="preserve">Signs of liver injury, including markedly elevated serum hepatic enzymes and elevated total bilirubin, occurred </w:t>
      </w:r>
      <w:r w:rsidRPr="001679F4">
        <w:rPr>
          <w:rFonts w:cstheme="minorHAnsi"/>
          <w:color w:val="000000" w:themeColor="text1"/>
          <w:sz w:val="18"/>
          <w:szCs w:val="18"/>
        </w:rPr>
        <w:br/>
        <w:t>as early as six days after the first dose; signs of liver injury have also been reported for the first time after multiple doses</w:t>
      </w:r>
    </w:p>
    <w:p w14:paraId="2C614B23" w14:textId="77777777" w:rsidR="0002618E" w:rsidRPr="00034611" w:rsidRDefault="0002618E" w:rsidP="0002618E">
      <w:pPr>
        <w:numPr>
          <w:ilvl w:val="0"/>
          <w:numId w:val="25"/>
        </w:numPr>
        <w:spacing w:after="0" w:line="240" w:lineRule="auto"/>
        <w:ind w:left="504"/>
        <w:rPr>
          <w:rFonts w:cstheme="minorHAnsi"/>
          <w:b/>
          <w:bCs/>
          <w:color w:val="000000" w:themeColor="text1"/>
          <w:sz w:val="20"/>
          <w:szCs w:val="20"/>
        </w:rPr>
      </w:pPr>
      <w:r w:rsidRPr="001679F4">
        <w:rPr>
          <w:rFonts w:cstheme="minorHAnsi"/>
          <w:color w:val="000000" w:themeColor="text1"/>
          <w:sz w:val="18"/>
          <w:szCs w:val="18"/>
        </w:rPr>
        <w:t>TYSABRI should be discontinued in patients with jaundice or other evidence of significant liver injury (e.g., laboratory evidence)</w:t>
      </w:r>
    </w:p>
    <w:p w14:paraId="2B8C5502" w14:textId="77777777" w:rsidR="0002618E" w:rsidRPr="00E975D1" w:rsidRDefault="0002618E" w:rsidP="0002618E">
      <w:pPr>
        <w:spacing w:after="0" w:line="240" w:lineRule="auto"/>
        <w:rPr>
          <w:rFonts w:cstheme="minorHAnsi"/>
          <w:b/>
          <w:bCs/>
          <w:color w:val="000000" w:themeColor="text1"/>
          <w:sz w:val="21"/>
          <w:szCs w:val="21"/>
        </w:rPr>
      </w:pPr>
      <w:r w:rsidRPr="00E975D1">
        <w:rPr>
          <w:rFonts w:cstheme="minorHAnsi"/>
          <w:b/>
          <w:bCs/>
          <w:color w:val="000000" w:themeColor="text1"/>
          <w:sz w:val="21"/>
          <w:szCs w:val="21"/>
        </w:rPr>
        <w:t>Hypersensitivity/Antibody Formation</w:t>
      </w:r>
    </w:p>
    <w:p w14:paraId="41A60428" w14:textId="77777777" w:rsidR="0002618E" w:rsidRPr="0098499A" w:rsidRDefault="0002618E" w:rsidP="0002618E">
      <w:pPr>
        <w:numPr>
          <w:ilvl w:val="0"/>
          <w:numId w:val="26"/>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Hypersensitivity reactions have occurred in patients receiving TYSABRI, including serious systemic reactions (e.g., anaphylaxis) which occurred at an incidence of &lt;1%</w:t>
      </w:r>
    </w:p>
    <w:p w14:paraId="18FA4D3C" w14:textId="77777777" w:rsidR="0002618E" w:rsidRPr="0098499A" w:rsidRDefault="0002618E" w:rsidP="0002618E">
      <w:pPr>
        <w:numPr>
          <w:ilvl w:val="0"/>
          <w:numId w:val="26"/>
        </w:numPr>
        <w:spacing w:after="0" w:line="240" w:lineRule="auto"/>
        <w:ind w:left="504"/>
        <w:rPr>
          <w:rFonts w:cs="Calibri (Body)"/>
          <w:color w:val="000000" w:themeColor="text1"/>
          <w:spacing w:val="-2"/>
          <w:sz w:val="18"/>
          <w:szCs w:val="18"/>
        </w:rPr>
      </w:pPr>
      <w:r w:rsidRPr="0098499A">
        <w:rPr>
          <w:rFonts w:cs="Calibri (Body)"/>
          <w:color w:val="000000" w:themeColor="text1"/>
          <w:spacing w:val="-2"/>
          <w:sz w:val="18"/>
          <w:szCs w:val="18"/>
        </w:rPr>
        <w:t>Reactions usually occur within 2 hours of the start of the infusion. Symptoms associated with these reactions can include urticaria, dizziness, fever, rash, rigors, pruritus, nausea, flushing, hypotension, dyspnea, and chest pain</w:t>
      </w:r>
    </w:p>
    <w:p w14:paraId="5571B8BC" w14:textId="77777777" w:rsidR="0002618E" w:rsidRPr="0098499A" w:rsidRDefault="0002618E" w:rsidP="0002618E">
      <w:pPr>
        <w:numPr>
          <w:ilvl w:val="0"/>
          <w:numId w:val="26"/>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If a hypersensitivity reaction occurs, discontinue administration of TYSABRI and initiate appropriate therapy. Patients who experience a hypersensitivity reaction should not be re-treated with TYSABRI</w:t>
      </w:r>
    </w:p>
    <w:p w14:paraId="06C8D825" w14:textId="77777777" w:rsidR="0002618E" w:rsidRPr="0098499A" w:rsidRDefault="0002618E" w:rsidP="0002618E">
      <w:pPr>
        <w:numPr>
          <w:ilvl w:val="0"/>
          <w:numId w:val="26"/>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Hypersensitivity reactions were more frequent in patients with antibodies to TYSABRI compared with patients who did not develop antibodies to TYSABRI in both MS and CD studies</w:t>
      </w:r>
    </w:p>
    <w:p w14:paraId="6218C0BB" w14:textId="77777777" w:rsidR="0002618E" w:rsidRPr="00034611" w:rsidRDefault="0002618E" w:rsidP="0002618E">
      <w:pPr>
        <w:numPr>
          <w:ilvl w:val="0"/>
          <w:numId w:val="26"/>
        </w:numPr>
        <w:spacing w:after="0" w:line="240" w:lineRule="auto"/>
        <w:ind w:left="504"/>
        <w:rPr>
          <w:rFonts w:cstheme="minorHAnsi"/>
          <w:b/>
          <w:bCs/>
          <w:color w:val="000000" w:themeColor="text1"/>
          <w:sz w:val="18"/>
          <w:szCs w:val="18"/>
        </w:rPr>
      </w:pPr>
      <w:r w:rsidRPr="0098499A">
        <w:rPr>
          <w:rFonts w:cstheme="minorHAnsi"/>
          <w:color w:val="000000" w:themeColor="text1"/>
          <w:sz w:val="18"/>
          <w:szCs w:val="18"/>
        </w:rPr>
        <w:t>Patients who receive TYSABRI for a short exposure (1 to 2 infusions) followed by an extended period without treatment are at higher risk of developing anti-natalizumab antibodies and/or hypersensitivity reactions on</w:t>
      </w:r>
      <w:r>
        <w:rPr>
          <w:rFonts w:cstheme="minorHAnsi"/>
          <w:color w:val="000000" w:themeColor="text1"/>
          <w:sz w:val="18"/>
          <w:szCs w:val="18"/>
        </w:rPr>
        <w:t xml:space="preserve"> </w:t>
      </w:r>
      <w:r w:rsidRPr="0098499A">
        <w:rPr>
          <w:rFonts w:cstheme="minorHAnsi"/>
          <w:color w:val="000000" w:themeColor="text1"/>
          <w:sz w:val="18"/>
          <w:szCs w:val="18"/>
        </w:rPr>
        <w:t>re-exposure, compared to patients who received regularly scheduled treatment</w:t>
      </w:r>
    </w:p>
    <w:p w14:paraId="6AA6B619" w14:textId="77777777" w:rsidR="0002618E" w:rsidRPr="00E975D1" w:rsidRDefault="0002618E" w:rsidP="0002618E">
      <w:pPr>
        <w:spacing w:after="0" w:line="240" w:lineRule="auto"/>
        <w:rPr>
          <w:rFonts w:cstheme="minorHAnsi"/>
          <w:b/>
          <w:bCs/>
          <w:color w:val="000000" w:themeColor="text1"/>
          <w:sz w:val="21"/>
          <w:szCs w:val="21"/>
        </w:rPr>
      </w:pPr>
      <w:r w:rsidRPr="00E975D1">
        <w:rPr>
          <w:rFonts w:cstheme="minorHAnsi"/>
          <w:b/>
          <w:bCs/>
          <w:color w:val="000000" w:themeColor="text1"/>
          <w:sz w:val="21"/>
          <w:szCs w:val="21"/>
        </w:rPr>
        <w:t>Immunosuppression/Infections</w:t>
      </w:r>
    </w:p>
    <w:p w14:paraId="18A4DA11" w14:textId="77777777" w:rsidR="0002618E" w:rsidRPr="0098499A" w:rsidRDefault="0002618E" w:rsidP="0002618E">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The immune system effects of TYSABRI may increase the risk for infections</w:t>
      </w:r>
    </w:p>
    <w:p w14:paraId="074E70C2" w14:textId="77777777" w:rsidR="0002618E" w:rsidRPr="0098499A" w:rsidRDefault="0002618E" w:rsidP="0002618E">
      <w:pPr>
        <w:numPr>
          <w:ilvl w:val="0"/>
          <w:numId w:val="27"/>
        </w:numPr>
        <w:spacing w:after="0" w:line="240" w:lineRule="auto"/>
        <w:ind w:left="504"/>
        <w:rPr>
          <w:rFonts w:cs="Calibri (Body)"/>
          <w:color w:val="000000" w:themeColor="text1"/>
          <w:spacing w:val="-2"/>
          <w:sz w:val="18"/>
          <w:szCs w:val="18"/>
        </w:rPr>
      </w:pPr>
      <w:r w:rsidRPr="0098499A">
        <w:rPr>
          <w:rFonts w:cs="Calibri (Body)"/>
          <w:color w:val="000000" w:themeColor="text1"/>
          <w:spacing w:val="-2"/>
          <w:sz w:val="18"/>
          <w:szCs w:val="18"/>
        </w:rPr>
        <w:t xml:space="preserve">In Study MS1, certain types of infections—including pneumonias and urinary tract infections (including serious cases), gastroenteritis, vaginal infections, tooth infections, tonsillitis, and herpes infections—occurred more often in TYSABRI-treated patients than in placebo-treated patients. One opportunistic infection, a </w:t>
      </w:r>
      <w:proofErr w:type="spellStart"/>
      <w:r w:rsidRPr="0098499A">
        <w:rPr>
          <w:rFonts w:cs="Calibri (Body)"/>
          <w:color w:val="000000" w:themeColor="text1"/>
          <w:spacing w:val="-2"/>
          <w:sz w:val="18"/>
          <w:szCs w:val="18"/>
        </w:rPr>
        <w:t>cryptosporidial</w:t>
      </w:r>
      <w:proofErr w:type="spellEnd"/>
      <w:r w:rsidRPr="0098499A">
        <w:rPr>
          <w:rFonts w:cs="Calibri (Body)"/>
          <w:color w:val="000000" w:themeColor="text1"/>
          <w:spacing w:val="-2"/>
          <w:sz w:val="18"/>
          <w:szCs w:val="18"/>
        </w:rPr>
        <w:t xml:space="preserve"> gastroenteritis with a prolonged course, was observed in a patient who received TYSABRI in Study MS1</w:t>
      </w:r>
    </w:p>
    <w:p w14:paraId="674866E4" w14:textId="77777777" w:rsidR="0002618E" w:rsidRPr="0098499A" w:rsidRDefault="0002618E" w:rsidP="0002618E">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Studies MS1 and MS2, an increase in infections was seen in patients concurrently receiving short courses of corticosteroids. However, the increase in infections in</w:t>
      </w:r>
      <w:r>
        <w:rPr>
          <w:rFonts w:cstheme="minorHAnsi"/>
          <w:color w:val="000000" w:themeColor="text1"/>
          <w:sz w:val="18"/>
          <w:szCs w:val="18"/>
        </w:rPr>
        <w:t xml:space="preserve"> </w:t>
      </w:r>
      <w:r w:rsidRPr="0098499A">
        <w:rPr>
          <w:rFonts w:cstheme="minorHAnsi"/>
          <w:color w:val="000000" w:themeColor="text1"/>
          <w:sz w:val="18"/>
          <w:szCs w:val="18"/>
        </w:rPr>
        <w:t xml:space="preserve">TYSABRI-treated patients who received steroids was </w:t>
      </w:r>
      <w:proofErr w:type="gramStart"/>
      <w:r w:rsidRPr="0098499A">
        <w:rPr>
          <w:rFonts w:cstheme="minorHAnsi"/>
          <w:color w:val="000000" w:themeColor="text1"/>
          <w:sz w:val="18"/>
          <w:szCs w:val="18"/>
        </w:rPr>
        <w:t>similar to</w:t>
      </w:r>
      <w:proofErr w:type="gramEnd"/>
      <w:r w:rsidRPr="0098499A">
        <w:rPr>
          <w:rFonts w:cstheme="minorHAnsi"/>
          <w:color w:val="000000" w:themeColor="text1"/>
          <w:sz w:val="18"/>
          <w:szCs w:val="18"/>
        </w:rPr>
        <w:t xml:space="preserve"> the increase in placebo-treated patients who received steroids</w:t>
      </w:r>
    </w:p>
    <w:p w14:paraId="5FA01D4E" w14:textId="77777777" w:rsidR="0002618E" w:rsidRPr="0098499A" w:rsidRDefault="0002618E" w:rsidP="0002618E">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a long-term safety study of patients, opportunistic infections (pulmonary mycobacterium avium intracellular, aspergilloma, cryptococcal fungemia and meningitis, and Candida pneumonia) have been observed in &lt;1% of TYSABRI-treated patients</w:t>
      </w:r>
    </w:p>
    <w:p w14:paraId="1C91296E" w14:textId="77777777" w:rsidR="0002618E" w:rsidRPr="0098499A" w:rsidRDefault="0002618E" w:rsidP="0002618E">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Concurrent use of antineoplastic, immunosuppressant, or immunomodulating agents may further increase the risk of infections over the risk observed with use of TYSABRI alone</w:t>
      </w:r>
    </w:p>
    <w:p w14:paraId="07EF309D" w14:textId="77777777" w:rsidR="0002618E" w:rsidRPr="0098499A" w:rsidRDefault="0002618E" w:rsidP="0002618E">
      <w:pPr>
        <w:numPr>
          <w:ilvl w:val="0"/>
          <w:numId w:val="27"/>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Studies MS1 and MS2, the rate of any type of infection was approximately 1.5 per patient-year in both TYSABRI-treated patients and placebo-treated patients</w:t>
      </w:r>
    </w:p>
    <w:p w14:paraId="7E28ADBB" w14:textId="77777777" w:rsidR="0002618E" w:rsidRPr="000653F6" w:rsidRDefault="0002618E" w:rsidP="0002618E">
      <w:pPr>
        <w:numPr>
          <w:ilvl w:val="0"/>
          <w:numId w:val="27"/>
        </w:numPr>
        <w:spacing w:after="0" w:line="240" w:lineRule="auto"/>
        <w:ind w:left="504"/>
        <w:rPr>
          <w:rFonts w:cstheme="minorHAnsi"/>
          <w:b/>
          <w:bCs/>
          <w:color w:val="000000" w:themeColor="text1"/>
          <w:sz w:val="20"/>
          <w:szCs w:val="20"/>
        </w:rPr>
      </w:pPr>
      <w:r w:rsidRPr="0098499A">
        <w:rPr>
          <w:rFonts w:cstheme="minorHAnsi"/>
          <w:color w:val="000000" w:themeColor="text1"/>
          <w:sz w:val="18"/>
          <w:szCs w:val="18"/>
        </w:rPr>
        <w:t>In Study MS1, the incidence of serious infections was approximately 3% in TYSABRI-treated patients and in placebo-treated patients. Most patients did not interrupt treatment with TYSABRI during infections</w:t>
      </w:r>
    </w:p>
    <w:p w14:paraId="799DCFB3" w14:textId="77777777" w:rsidR="0002618E" w:rsidRPr="00FD4755" w:rsidRDefault="0002618E" w:rsidP="0002618E">
      <w:pPr>
        <w:spacing w:after="0" w:line="240" w:lineRule="auto"/>
        <w:rPr>
          <w:rFonts w:cstheme="minorHAnsi"/>
          <w:b/>
          <w:bCs/>
          <w:color w:val="000000" w:themeColor="text1"/>
          <w:sz w:val="21"/>
          <w:szCs w:val="21"/>
        </w:rPr>
      </w:pPr>
      <w:r w:rsidRPr="00FD4755">
        <w:rPr>
          <w:rFonts w:cstheme="minorHAnsi"/>
          <w:b/>
          <w:bCs/>
          <w:color w:val="000000" w:themeColor="text1"/>
          <w:sz w:val="21"/>
          <w:szCs w:val="21"/>
        </w:rPr>
        <w:t>Laboratory Test Abnormalities</w:t>
      </w:r>
    </w:p>
    <w:p w14:paraId="3635EE1B" w14:textId="77777777" w:rsidR="0002618E" w:rsidRPr="0098499A" w:rsidRDefault="0002618E" w:rsidP="0002618E">
      <w:pPr>
        <w:numPr>
          <w:ilvl w:val="0"/>
          <w:numId w:val="28"/>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In clinical trials, TYSABRI was observed to induce increases in circulating lymphocytes, monocytes, eosinophils, basophils, and nucleated red blood cells. Observed changes persisted during TYSABRI exposure, but were reversible, returning to baseline levels usually within 16 weeks after the last dose. Elevations of neutrophils were not observed. TYSABRI induces mild decreases in hemoglobin levels (mean decrease of 0.6 g/dL) that are frequently transient</w:t>
      </w:r>
    </w:p>
    <w:p w14:paraId="4DFC40D3" w14:textId="77777777" w:rsidR="0002618E" w:rsidRPr="00FD4755" w:rsidRDefault="0002618E" w:rsidP="0002618E">
      <w:pPr>
        <w:keepNext/>
        <w:spacing w:after="0" w:line="240" w:lineRule="auto"/>
        <w:rPr>
          <w:rFonts w:cstheme="minorHAnsi"/>
          <w:b/>
          <w:bCs/>
          <w:color w:val="000000" w:themeColor="text1"/>
          <w:sz w:val="21"/>
          <w:szCs w:val="21"/>
        </w:rPr>
      </w:pPr>
      <w:r w:rsidRPr="00FD4755">
        <w:rPr>
          <w:rFonts w:cstheme="minorHAnsi"/>
          <w:b/>
          <w:bCs/>
          <w:color w:val="000000" w:themeColor="text1"/>
          <w:sz w:val="21"/>
          <w:szCs w:val="21"/>
        </w:rPr>
        <w:t>Thrombocytopenia</w:t>
      </w:r>
    </w:p>
    <w:p w14:paraId="614FAF46" w14:textId="77777777" w:rsidR="0002618E" w:rsidRPr="0098499A" w:rsidRDefault="0002618E" w:rsidP="0002618E">
      <w:pPr>
        <w:numPr>
          <w:ilvl w:val="0"/>
          <w:numId w:val="29"/>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 xml:space="preserve">Cases of thrombocytopenia, including immune thrombocytopenic purpura (ITP), have been reported with the use of TYSABRI in the </w:t>
      </w:r>
      <w:proofErr w:type="spellStart"/>
      <w:r w:rsidRPr="0098499A">
        <w:rPr>
          <w:rFonts w:cstheme="minorHAnsi"/>
          <w:color w:val="000000" w:themeColor="text1"/>
          <w:sz w:val="18"/>
          <w:szCs w:val="18"/>
        </w:rPr>
        <w:t>postmarketing</w:t>
      </w:r>
      <w:proofErr w:type="spellEnd"/>
      <w:r w:rsidRPr="0098499A">
        <w:rPr>
          <w:rFonts w:cstheme="minorHAnsi"/>
          <w:color w:val="000000" w:themeColor="text1"/>
          <w:sz w:val="18"/>
          <w:szCs w:val="18"/>
        </w:rPr>
        <w:t xml:space="preserve"> setting. Symptoms of thrombocytopenia may include easy bruising, abnormal bleeding, and petechiae. Delay in the diagnosis and treatment of thrombocytopenia may lead to serious and life-threatening sequelae. If thrombocytopenia is suspected, TYSABRI should be discontinued</w:t>
      </w:r>
    </w:p>
    <w:p w14:paraId="4903FB5A" w14:textId="77777777" w:rsidR="0002618E" w:rsidRPr="000653F6" w:rsidRDefault="0002618E" w:rsidP="0002618E">
      <w:pPr>
        <w:numPr>
          <w:ilvl w:val="0"/>
          <w:numId w:val="29"/>
        </w:numPr>
        <w:spacing w:after="0" w:line="240" w:lineRule="auto"/>
        <w:ind w:left="504"/>
        <w:rPr>
          <w:rFonts w:cstheme="minorHAnsi"/>
          <w:b/>
          <w:bCs/>
          <w:color w:val="000000" w:themeColor="text1"/>
          <w:sz w:val="20"/>
          <w:szCs w:val="20"/>
        </w:rPr>
      </w:pPr>
      <w:r w:rsidRPr="0098499A">
        <w:rPr>
          <w:rFonts w:cstheme="minorHAnsi"/>
          <w:color w:val="000000" w:themeColor="text1"/>
          <w:sz w:val="18"/>
          <w:szCs w:val="18"/>
        </w:rPr>
        <w:t>Cases of neonatal thrombocytopenia, at times associated with anemia, have been reported in newborns with </w:t>
      </w:r>
      <w:r w:rsidRPr="0098499A">
        <w:rPr>
          <w:rFonts w:cstheme="minorHAnsi"/>
          <w:color w:val="000000" w:themeColor="text1"/>
          <w:sz w:val="18"/>
          <w:szCs w:val="18"/>
        </w:rPr>
        <w:br/>
      </w:r>
      <w:r w:rsidRPr="0098499A">
        <w:rPr>
          <w:rFonts w:cstheme="minorHAnsi"/>
          <w:i/>
          <w:iCs/>
          <w:color w:val="000000" w:themeColor="text1"/>
          <w:sz w:val="18"/>
          <w:szCs w:val="18"/>
        </w:rPr>
        <w:t>in utero</w:t>
      </w:r>
      <w:r w:rsidRPr="0098499A">
        <w:rPr>
          <w:rFonts w:cstheme="minorHAnsi"/>
          <w:color w:val="000000" w:themeColor="text1"/>
          <w:sz w:val="18"/>
          <w:szCs w:val="18"/>
        </w:rPr>
        <w:t xml:space="preserve"> exposure to TYSABRI. A CBC should be obtained in neonates </w:t>
      </w:r>
      <w:proofErr w:type="gramStart"/>
      <w:r w:rsidRPr="0098499A">
        <w:rPr>
          <w:rFonts w:cstheme="minorHAnsi"/>
          <w:color w:val="000000" w:themeColor="text1"/>
          <w:sz w:val="18"/>
          <w:szCs w:val="18"/>
        </w:rPr>
        <w:t>with </w:t>
      </w:r>
      <w:r w:rsidRPr="0098499A">
        <w:rPr>
          <w:rFonts w:cstheme="minorHAnsi"/>
          <w:i/>
          <w:iCs/>
          <w:color w:val="000000" w:themeColor="text1"/>
          <w:sz w:val="18"/>
          <w:szCs w:val="18"/>
        </w:rPr>
        <w:t>in</w:t>
      </w:r>
      <w:proofErr w:type="gramEnd"/>
      <w:r w:rsidRPr="0098499A">
        <w:rPr>
          <w:rFonts w:cstheme="minorHAnsi"/>
          <w:i/>
          <w:iCs/>
          <w:color w:val="000000" w:themeColor="text1"/>
          <w:sz w:val="18"/>
          <w:szCs w:val="18"/>
        </w:rPr>
        <w:t xml:space="preserve"> utero</w:t>
      </w:r>
      <w:r w:rsidRPr="0098499A">
        <w:rPr>
          <w:rFonts w:cstheme="minorHAnsi"/>
          <w:color w:val="000000" w:themeColor="text1"/>
          <w:sz w:val="18"/>
          <w:szCs w:val="18"/>
        </w:rPr>
        <w:t> exposure to TYSABRI</w:t>
      </w:r>
    </w:p>
    <w:p w14:paraId="38CE8D41" w14:textId="77777777" w:rsidR="0002618E" w:rsidRPr="00E975D1" w:rsidRDefault="0002618E" w:rsidP="0002618E">
      <w:pPr>
        <w:spacing w:after="0" w:line="240" w:lineRule="auto"/>
        <w:rPr>
          <w:rFonts w:cstheme="minorHAnsi"/>
          <w:b/>
          <w:bCs/>
          <w:color w:val="000000" w:themeColor="text1"/>
          <w:sz w:val="21"/>
          <w:szCs w:val="21"/>
        </w:rPr>
      </w:pPr>
      <w:r w:rsidRPr="00E975D1">
        <w:rPr>
          <w:rFonts w:cstheme="minorHAnsi"/>
          <w:b/>
          <w:bCs/>
          <w:color w:val="000000" w:themeColor="text1"/>
          <w:sz w:val="21"/>
          <w:szCs w:val="21"/>
        </w:rPr>
        <w:t>Adverse Reactions</w:t>
      </w:r>
    </w:p>
    <w:p w14:paraId="670DBD1E" w14:textId="77777777" w:rsidR="0002618E" w:rsidRPr="0098499A" w:rsidRDefault="0002618E" w:rsidP="0002618E">
      <w:pPr>
        <w:numPr>
          <w:ilvl w:val="0"/>
          <w:numId w:val="30"/>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 xml:space="preserve">The most common adverse reactions reported at an incidence of ≥10% with TYSABRI and ≥2% difference with placebo were headache (38% vs 33%), fatigue (27% vs 21%), infusion reactions (24% vs 18%), urinary tract infections (21% vs 17%), arthralgia (19% vs 14%), depression (19% vs 16%), pain in extremity (16% vs 14%), </w:t>
      </w:r>
      <w:r w:rsidRPr="0098499A">
        <w:rPr>
          <w:rFonts w:cstheme="minorHAnsi"/>
          <w:color w:val="000000" w:themeColor="text1"/>
          <w:sz w:val="18"/>
          <w:szCs w:val="18"/>
        </w:rPr>
        <w:br/>
        <w:t>rash (12% vs 9%), gastroenteritis (11% vs 9%), and vaginitis (10% vs 6%)</w:t>
      </w:r>
    </w:p>
    <w:p w14:paraId="151D252E" w14:textId="77777777" w:rsidR="0002618E" w:rsidRPr="0098499A" w:rsidRDefault="0002618E" w:rsidP="0002618E">
      <w:pPr>
        <w:numPr>
          <w:ilvl w:val="0"/>
          <w:numId w:val="30"/>
        </w:numPr>
        <w:spacing w:after="0" w:line="240" w:lineRule="auto"/>
        <w:ind w:left="504"/>
        <w:rPr>
          <w:rFonts w:cstheme="minorHAnsi"/>
          <w:color w:val="000000" w:themeColor="text1"/>
          <w:sz w:val="18"/>
          <w:szCs w:val="18"/>
        </w:rPr>
      </w:pPr>
      <w:r w:rsidRPr="0098499A">
        <w:rPr>
          <w:rFonts w:cstheme="minorHAnsi"/>
          <w:color w:val="000000" w:themeColor="text1"/>
          <w:sz w:val="18"/>
          <w:szCs w:val="18"/>
        </w:rPr>
        <w:t>The most frequently reported serious adverse reactions in Study MS1 were infections (3.2% vs 2.6% placebo), including urinary tract infection (0.8% vs 0.3%) and pneumonia (0.6% vs 0%), acute hypersensitivity reactions (1.1% vs 0.3%, including anaphylaxis/anaphylactoid reaction [0.8% vs 0%]), depression (1.0% vs 1.0%, including suicidal ideation or attempt [0.6% vs 0.3%]), and cholelithiasis (1.0% vs 0.3%)</w:t>
      </w:r>
    </w:p>
    <w:p w14:paraId="1A28242A" w14:textId="77777777" w:rsidR="0002618E" w:rsidRDefault="0002618E" w:rsidP="0002618E">
      <w:pPr>
        <w:numPr>
          <w:ilvl w:val="0"/>
          <w:numId w:val="30"/>
        </w:numPr>
        <w:spacing w:after="0" w:line="240" w:lineRule="auto"/>
        <w:ind w:left="504"/>
        <w:rPr>
          <w:rFonts w:cstheme="minorHAnsi"/>
          <w:color w:val="000000" w:themeColor="text1"/>
          <w:sz w:val="18"/>
          <w:szCs w:val="18"/>
        </w:rPr>
        <w:sectPr w:rsidR="0002618E" w:rsidSect="0002618E">
          <w:type w:val="continuous"/>
          <w:pgSz w:w="12240" w:h="15840"/>
          <w:pgMar w:top="720" w:right="576" w:bottom="720" w:left="576" w:header="720" w:footer="720" w:gutter="0"/>
          <w:cols w:num="2" w:space="288"/>
          <w:docGrid w:linePitch="360"/>
        </w:sectPr>
      </w:pPr>
      <w:r w:rsidRPr="00A65D37">
        <w:rPr>
          <w:rFonts w:cstheme="minorHAnsi"/>
          <w:color w:val="000000" w:themeColor="text1"/>
          <w:sz w:val="18"/>
          <w:szCs w:val="18"/>
        </w:rPr>
        <w:t>Based on animal data, TYSABRI may cause fetal harm. TYSABRI should be used during pregnancy only if the potential benefit justifies the potential risk to the fetu</w:t>
      </w:r>
      <w:r>
        <w:rPr>
          <w:rFonts w:cstheme="minorHAnsi"/>
          <w:color w:val="000000" w:themeColor="text1"/>
          <w:sz w:val="18"/>
          <w:szCs w:val="18"/>
        </w:rPr>
        <w:t>s</w:t>
      </w:r>
    </w:p>
    <w:p w14:paraId="1100198E" w14:textId="77777777" w:rsidR="0002618E" w:rsidRPr="006C070D" w:rsidRDefault="0002618E" w:rsidP="0002618E">
      <w:pPr>
        <w:spacing w:after="0" w:line="240" w:lineRule="auto"/>
        <w:rPr>
          <w:rFonts w:cstheme="minorHAnsi"/>
          <w:color w:val="000000" w:themeColor="text1"/>
          <w:sz w:val="18"/>
          <w:szCs w:val="18"/>
        </w:rPr>
        <w:sectPr w:rsidR="0002618E" w:rsidRPr="006C070D" w:rsidSect="0002618E">
          <w:type w:val="continuous"/>
          <w:pgSz w:w="12240" w:h="15840"/>
          <w:pgMar w:top="720" w:right="576" w:bottom="720" w:left="576" w:header="720" w:footer="720" w:gutter="0"/>
          <w:cols w:num="2" w:space="720"/>
          <w:docGrid w:linePitch="360"/>
        </w:sectPr>
      </w:pPr>
    </w:p>
    <w:p w14:paraId="4BE11C33" w14:textId="77777777" w:rsidR="0002618E" w:rsidRPr="00A21748" w:rsidRDefault="0002618E" w:rsidP="0002618E">
      <w:pPr>
        <w:spacing w:after="0" w:line="240" w:lineRule="auto"/>
        <w:jc w:val="center"/>
        <w:rPr>
          <w:rFonts w:cstheme="minorHAnsi"/>
          <w:b/>
          <w:bCs/>
          <w:color w:val="000000" w:themeColor="text1"/>
          <w:sz w:val="18"/>
          <w:szCs w:val="18"/>
        </w:rPr>
      </w:pPr>
      <w:r w:rsidRPr="00A21748">
        <w:rPr>
          <w:rFonts w:cstheme="minorHAnsi"/>
          <w:color w:val="000000" w:themeColor="text1"/>
          <w:sz w:val="18"/>
          <w:szCs w:val="18"/>
        </w:rPr>
        <w:t>Please see full </w:t>
      </w:r>
      <w:hyperlink r:id="rId11" w:tgtFrame="_blank" w:history="1">
        <w:r w:rsidRPr="00A21748">
          <w:rPr>
            <w:rFonts w:cstheme="minorHAnsi"/>
            <w:b/>
            <w:bCs/>
            <w:color w:val="4472C4" w:themeColor="accent1"/>
            <w:sz w:val="18"/>
            <w:szCs w:val="18"/>
            <w:u w:val="single"/>
          </w:rPr>
          <w:t>Prescribing Information</w:t>
        </w:r>
      </w:hyperlink>
      <w:r w:rsidRPr="00A21748">
        <w:rPr>
          <w:rFonts w:cstheme="minorHAnsi"/>
          <w:color w:val="000000" w:themeColor="text1"/>
          <w:sz w:val="18"/>
          <w:szCs w:val="18"/>
        </w:rPr>
        <w:t>, including </w:t>
      </w:r>
      <w:r w:rsidRPr="00A21748">
        <w:rPr>
          <w:rFonts w:cstheme="minorHAnsi"/>
          <w:b/>
          <w:bCs/>
          <w:color w:val="000000" w:themeColor="text1"/>
          <w:sz w:val="18"/>
          <w:szCs w:val="18"/>
        </w:rPr>
        <w:t>Boxed Warning.</w:t>
      </w:r>
    </w:p>
    <w:p w14:paraId="1603B289" w14:textId="77777777" w:rsidR="0002618E" w:rsidRDefault="0002618E" w:rsidP="0002618E">
      <w:pPr>
        <w:spacing w:after="0" w:line="240" w:lineRule="auto"/>
        <w:jc w:val="center"/>
        <w:rPr>
          <w:rFonts w:cstheme="minorHAnsi"/>
          <w:b/>
          <w:bCs/>
          <w:color w:val="000000" w:themeColor="text1"/>
          <w:sz w:val="19"/>
          <w:szCs w:val="19"/>
        </w:rPr>
      </w:pPr>
    </w:p>
    <w:p w14:paraId="26E4FBBA" w14:textId="77777777" w:rsidR="0002618E" w:rsidRDefault="0002618E" w:rsidP="0002618E">
      <w:pPr>
        <w:spacing w:after="0" w:line="240" w:lineRule="auto"/>
        <w:jc w:val="center"/>
        <w:rPr>
          <w:rFonts w:cstheme="minorHAnsi"/>
          <w:color w:val="7F7F7F" w:themeColor="text1" w:themeTint="80"/>
          <w:sz w:val="17"/>
          <w:szCs w:val="17"/>
          <w:shd w:val="clear" w:color="auto" w:fill="FFFFFF"/>
        </w:rPr>
      </w:pPr>
    </w:p>
    <w:p w14:paraId="3999CCC3" w14:textId="77777777" w:rsidR="0002618E" w:rsidRDefault="0002618E" w:rsidP="0002618E">
      <w:pPr>
        <w:spacing w:after="0" w:line="240" w:lineRule="auto"/>
        <w:jc w:val="center"/>
        <w:rPr>
          <w:rFonts w:cstheme="minorHAnsi"/>
          <w:color w:val="7F7F7F" w:themeColor="text1" w:themeTint="80"/>
          <w:sz w:val="17"/>
          <w:szCs w:val="17"/>
          <w:shd w:val="clear" w:color="auto" w:fill="FFFFFF"/>
        </w:rPr>
      </w:pPr>
    </w:p>
    <w:p w14:paraId="5C512589" w14:textId="77777777" w:rsidR="0002618E" w:rsidRDefault="0002618E" w:rsidP="0002618E">
      <w:pPr>
        <w:spacing w:after="0" w:line="240" w:lineRule="auto"/>
        <w:jc w:val="center"/>
        <w:rPr>
          <w:rFonts w:cstheme="minorHAnsi"/>
          <w:color w:val="7F7F7F" w:themeColor="text1" w:themeTint="80"/>
          <w:sz w:val="17"/>
          <w:szCs w:val="17"/>
          <w:shd w:val="clear" w:color="auto" w:fill="FFFFFF"/>
        </w:rPr>
      </w:pPr>
    </w:p>
    <w:p w14:paraId="3019EAA9" w14:textId="77777777" w:rsidR="0002618E" w:rsidRDefault="0002618E" w:rsidP="0002618E">
      <w:pPr>
        <w:spacing w:after="0" w:line="240" w:lineRule="auto"/>
        <w:jc w:val="center"/>
        <w:rPr>
          <w:rFonts w:cstheme="minorHAnsi"/>
          <w:color w:val="7F7F7F" w:themeColor="text1" w:themeTint="80"/>
          <w:sz w:val="17"/>
          <w:szCs w:val="17"/>
          <w:shd w:val="clear" w:color="auto" w:fill="FFFFFF"/>
        </w:rPr>
      </w:pPr>
    </w:p>
    <w:p w14:paraId="6D4C32D4" w14:textId="77777777" w:rsidR="0002618E" w:rsidRDefault="0002618E" w:rsidP="0002618E">
      <w:pPr>
        <w:spacing w:after="0" w:line="240" w:lineRule="auto"/>
        <w:jc w:val="center"/>
        <w:rPr>
          <w:rFonts w:cstheme="minorHAnsi"/>
          <w:color w:val="7F7F7F" w:themeColor="text1" w:themeTint="80"/>
          <w:sz w:val="17"/>
          <w:szCs w:val="17"/>
          <w:shd w:val="clear" w:color="auto" w:fill="FFFFFF"/>
        </w:rPr>
      </w:pPr>
    </w:p>
    <w:p w14:paraId="5A59D13F" w14:textId="77777777" w:rsidR="0002618E" w:rsidRDefault="0002618E" w:rsidP="0002618E">
      <w:pPr>
        <w:spacing w:after="0" w:line="240" w:lineRule="auto"/>
        <w:jc w:val="center"/>
        <w:rPr>
          <w:rFonts w:cstheme="minorHAnsi"/>
          <w:color w:val="7F7F7F" w:themeColor="text1" w:themeTint="80"/>
          <w:sz w:val="16"/>
          <w:szCs w:val="16"/>
          <w:shd w:val="clear" w:color="auto" w:fill="FFFFFF"/>
        </w:rPr>
      </w:pPr>
    </w:p>
    <w:p w14:paraId="03BFA291" w14:textId="77777777" w:rsidR="00F27809" w:rsidRDefault="00F27809" w:rsidP="0002618E">
      <w:pPr>
        <w:spacing w:after="0" w:line="240" w:lineRule="auto"/>
        <w:jc w:val="center"/>
        <w:rPr>
          <w:rFonts w:cstheme="minorHAnsi"/>
          <w:color w:val="7F7F7F" w:themeColor="text1" w:themeTint="80"/>
          <w:sz w:val="16"/>
          <w:szCs w:val="16"/>
          <w:shd w:val="clear" w:color="auto" w:fill="FFFFFF"/>
        </w:rPr>
      </w:pPr>
    </w:p>
    <w:p w14:paraId="42BD3853" w14:textId="69CC41C8" w:rsidR="0002618E" w:rsidRPr="00237596" w:rsidRDefault="0002618E" w:rsidP="0002618E">
      <w:pPr>
        <w:spacing w:after="0" w:line="240" w:lineRule="auto"/>
        <w:jc w:val="center"/>
        <w:rPr>
          <w:rFonts w:cstheme="minorHAnsi"/>
          <w:color w:val="000000" w:themeColor="text1"/>
          <w:sz w:val="16"/>
          <w:szCs w:val="16"/>
        </w:rPr>
      </w:pPr>
      <w:r w:rsidRPr="00237596">
        <w:rPr>
          <w:rFonts w:cstheme="minorHAnsi"/>
          <w:color w:val="7F7F7F" w:themeColor="text1" w:themeTint="80"/>
          <w:sz w:val="16"/>
          <w:szCs w:val="16"/>
          <w:shd w:val="clear" w:color="auto" w:fill="FFFFFF"/>
        </w:rPr>
        <w:t>This sample letter is for informational purposes only, providing an example of language that may be required or helpful when responding to a request from a patient’s health plan. Use of this information does not constitute medical or legal advice and does not guarantee reimbursement for coverage. It is not intended to be a substitute for, or an influence on, the independent clinical decision of the prescribing healthcare professional.</w:t>
      </w:r>
    </w:p>
    <w:p w14:paraId="120F8860" w14:textId="2E0CA8F0" w:rsidR="003415B7" w:rsidRDefault="00DB64EB" w:rsidP="00DB64EB">
      <w:pPr>
        <w:pStyle w:val="Footer"/>
        <w:rPr>
          <w:rFonts w:cstheme="minorHAnsi"/>
          <w:color w:val="CC0099"/>
          <w:sz w:val="21"/>
          <w:szCs w:val="21"/>
        </w:rPr>
      </w:pPr>
      <w:r w:rsidRPr="00871C35">
        <w:rPr>
          <w:rFonts w:cstheme="minorHAnsi"/>
          <w:color w:val="CC0099"/>
          <w:sz w:val="21"/>
          <w:szCs w:val="21"/>
        </w:rPr>
        <w:lastRenderedPageBreak/>
        <w:t>[Insert Date]</w:t>
      </w:r>
    </w:p>
    <w:p w14:paraId="25CE09B8" w14:textId="77777777" w:rsidR="008840AC" w:rsidRDefault="008840AC" w:rsidP="00DB64EB">
      <w:pPr>
        <w:pStyle w:val="Footer"/>
        <w:rPr>
          <w:rFonts w:cstheme="minorHAnsi"/>
          <w:color w:val="CC0099"/>
          <w:sz w:val="21"/>
          <w:szCs w:val="21"/>
        </w:rPr>
      </w:pPr>
    </w:p>
    <w:p w14:paraId="6C578B9E" w14:textId="77777777" w:rsidR="008840AC" w:rsidRDefault="008840AC" w:rsidP="00DB64EB">
      <w:pPr>
        <w:pStyle w:val="Footer"/>
        <w:rPr>
          <w:rFonts w:cstheme="minorHAnsi"/>
          <w:color w:val="CC0099"/>
          <w:sz w:val="21"/>
          <w:szCs w:val="21"/>
        </w:rPr>
        <w:sectPr w:rsidR="008840AC" w:rsidSect="001B1275">
          <w:type w:val="continuous"/>
          <w:pgSz w:w="12240" w:h="15840"/>
          <w:pgMar w:top="720" w:right="720" w:bottom="720" w:left="720" w:header="720" w:footer="720" w:gutter="0"/>
          <w:cols w:space="720"/>
          <w:docGrid w:linePitch="360"/>
        </w:sectPr>
      </w:pPr>
    </w:p>
    <w:p w14:paraId="0C50E330" w14:textId="051F0500" w:rsidR="00345FE7" w:rsidRPr="00871C35" w:rsidRDefault="00F11652" w:rsidP="00DB64EB">
      <w:pPr>
        <w:pStyle w:val="Footer"/>
        <w:rPr>
          <w:rFonts w:cstheme="minorHAnsi"/>
          <w:color w:val="CC0099"/>
          <w:sz w:val="21"/>
          <w:szCs w:val="21"/>
        </w:rPr>
      </w:pPr>
      <w:r w:rsidRPr="00871C35">
        <w:rPr>
          <w:rFonts w:cstheme="minorHAnsi"/>
          <w:color w:val="CC0099"/>
          <w:sz w:val="21"/>
          <w:szCs w:val="21"/>
        </w:rPr>
        <w:t>[</w:t>
      </w:r>
      <w:r w:rsidR="006A70B8" w:rsidRPr="00871C35">
        <w:rPr>
          <w:rFonts w:cstheme="minorHAnsi"/>
          <w:color w:val="CC0099"/>
          <w:sz w:val="21"/>
          <w:szCs w:val="21"/>
        </w:rPr>
        <w:t xml:space="preserve">ATTN: </w:t>
      </w:r>
      <w:r w:rsidRPr="00871C35">
        <w:rPr>
          <w:rFonts w:cstheme="minorHAnsi"/>
          <w:color w:val="CC0099"/>
          <w:sz w:val="21"/>
          <w:szCs w:val="21"/>
        </w:rPr>
        <w:t xml:space="preserve">Health Plan </w:t>
      </w:r>
      <w:r w:rsidR="006A70B8" w:rsidRPr="00871C35">
        <w:rPr>
          <w:rFonts w:cstheme="minorHAnsi"/>
          <w:color w:val="CC0099"/>
          <w:sz w:val="21"/>
          <w:szCs w:val="21"/>
        </w:rPr>
        <w:t>Contant Name]</w:t>
      </w:r>
    </w:p>
    <w:p w14:paraId="20F54028" w14:textId="035EA970" w:rsidR="006A70B8" w:rsidRPr="00871C35" w:rsidRDefault="006A70B8" w:rsidP="00DB64EB">
      <w:pPr>
        <w:pStyle w:val="Footer"/>
        <w:rPr>
          <w:rFonts w:cstheme="minorHAnsi"/>
          <w:color w:val="CC0099"/>
          <w:sz w:val="21"/>
          <w:szCs w:val="21"/>
        </w:rPr>
      </w:pPr>
      <w:r w:rsidRPr="00871C35">
        <w:rPr>
          <w:rFonts w:cstheme="minorHAnsi"/>
          <w:color w:val="CC0099"/>
          <w:sz w:val="21"/>
          <w:szCs w:val="21"/>
        </w:rPr>
        <w:t>[Health Plan Name]</w:t>
      </w:r>
    </w:p>
    <w:p w14:paraId="182524FB" w14:textId="22FB32FA" w:rsidR="003415B7" w:rsidRPr="00871C35" w:rsidRDefault="00894E51" w:rsidP="00DB64EB">
      <w:pPr>
        <w:pStyle w:val="Footer"/>
        <w:rPr>
          <w:rFonts w:cstheme="minorHAnsi"/>
          <w:color w:val="CC0099"/>
          <w:sz w:val="21"/>
          <w:szCs w:val="21"/>
        </w:rPr>
      </w:pPr>
      <w:r w:rsidRPr="00871C35">
        <w:rPr>
          <w:rFonts w:cstheme="minorHAnsi"/>
          <w:color w:val="CC0099"/>
          <w:sz w:val="21"/>
          <w:szCs w:val="21"/>
        </w:rPr>
        <w:t>[Address]</w:t>
      </w:r>
    </w:p>
    <w:p w14:paraId="43E43F76" w14:textId="77777777" w:rsidR="006E7B20" w:rsidRDefault="006E7B20" w:rsidP="00345FE7">
      <w:pPr>
        <w:spacing w:after="0" w:line="240" w:lineRule="auto"/>
        <w:rPr>
          <w:rFonts w:cstheme="minorHAnsi"/>
          <w:color w:val="CC0099"/>
          <w:sz w:val="21"/>
          <w:szCs w:val="21"/>
        </w:rPr>
      </w:pPr>
    </w:p>
    <w:p w14:paraId="21E656BC" w14:textId="776DA1C7" w:rsidR="000F1819" w:rsidRPr="00871C35" w:rsidRDefault="000F1819" w:rsidP="00345FE7">
      <w:pPr>
        <w:spacing w:after="0" w:line="240" w:lineRule="auto"/>
        <w:rPr>
          <w:rFonts w:cstheme="minorHAnsi"/>
          <w:sz w:val="21"/>
          <w:szCs w:val="21"/>
        </w:rPr>
      </w:pPr>
      <w:r w:rsidRPr="00871C35">
        <w:rPr>
          <w:rFonts w:cstheme="minorHAnsi"/>
          <w:color w:val="CC0099"/>
          <w:sz w:val="21"/>
          <w:szCs w:val="21"/>
        </w:rPr>
        <w:t>[Patient Name]</w:t>
      </w:r>
    </w:p>
    <w:p w14:paraId="1C9A2126" w14:textId="77777777" w:rsidR="000F1819" w:rsidRPr="00871C35" w:rsidRDefault="000F1819" w:rsidP="00345FE7">
      <w:pPr>
        <w:spacing w:after="0" w:line="240" w:lineRule="auto"/>
        <w:rPr>
          <w:rFonts w:cstheme="minorHAnsi"/>
          <w:color w:val="CC0099"/>
          <w:sz w:val="21"/>
          <w:szCs w:val="21"/>
        </w:rPr>
      </w:pPr>
      <w:r w:rsidRPr="00871C35">
        <w:rPr>
          <w:rFonts w:cstheme="minorHAnsi"/>
          <w:color w:val="CC0099"/>
          <w:sz w:val="21"/>
          <w:szCs w:val="21"/>
        </w:rPr>
        <w:t>[Patient Insurance ID Number]</w:t>
      </w:r>
    </w:p>
    <w:p w14:paraId="5FF660C8" w14:textId="77777777" w:rsidR="000F1819" w:rsidRPr="00871C35" w:rsidRDefault="000F1819" w:rsidP="00345FE7">
      <w:pPr>
        <w:spacing w:after="0" w:line="240" w:lineRule="auto"/>
        <w:rPr>
          <w:rFonts w:cstheme="minorHAnsi"/>
          <w:color w:val="CC0099"/>
          <w:sz w:val="21"/>
          <w:szCs w:val="21"/>
        </w:rPr>
      </w:pPr>
      <w:r w:rsidRPr="00871C35">
        <w:rPr>
          <w:rFonts w:cstheme="minorHAnsi"/>
          <w:color w:val="CC0099"/>
          <w:sz w:val="21"/>
          <w:szCs w:val="21"/>
        </w:rPr>
        <w:t xml:space="preserve">[Patient Date of Birth] </w:t>
      </w:r>
    </w:p>
    <w:p w14:paraId="6046F773" w14:textId="4E9AD59E" w:rsidR="00F86F11" w:rsidRPr="00A2023A" w:rsidRDefault="000F1819" w:rsidP="00A2023A">
      <w:pPr>
        <w:spacing w:after="0" w:line="240" w:lineRule="auto"/>
        <w:rPr>
          <w:rFonts w:cstheme="minorHAnsi"/>
          <w:color w:val="CC0099"/>
          <w:sz w:val="21"/>
          <w:szCs w:val="21"/>
        </w:rPr>
        <w:sectPr w:rsidR="00F86F11" w:rsidRPr="00A2023A" w:rsidSect="001B1275">
          <w:type w:val="continuous"/>
          <w:pgSz w:w="12240" w:h="15840"/>
          <w:pgMar w:top="720" w:right="720" w:bottom="720" w:left="720" w:header="720" w:footer="720" w:gutter="0"/>
          <w:cols w:num="2" w:space="720"/>
          <w:docGrid w:linePitch="360"/>
        </w:sectPr>
      </w:pPr>
      <w:r w:rsidRPr="00871C35">
        <w:rPr>
          <w:rFonts w:cstheme="minorHAnsi"/>
          <w:color w:val="CC0099"/>
          <w:sz w:val="21"/>
          <w:szCs w:val="21"/>
        </w:rPr>
        <w:t>[Reference Number]</w:t>
      </w:r>
    </w:p>
    <w:p w14:paraId="71406FB5" w14:textId="280BBA29" w:rsidR="00860C4F" w:rsidRDefault="00A2023A" w:rsidP="00860C4F">
      <w:pPr>
        <w:rPr>
          <w:rFonts w:cstheme="minorHAnsi"/>
          <w:b/>
          <w:bCs/>
          <w:sz w:val="21"/>
          <w:szCs w:val="21"/>
        </w:rPr>
      </w:pPr>
      <w:r>
        <w:rPr>
          <w:rFonts w:cstheme="minorHAnsi"/>
          <w:b/>
          <w:bCs/>
          <w:sz w:val="21"/>
          <w:szCs w:val="21"/>
        </w:rPr>
        <w:br/>
      </w:r>
      <w:r w:rsidR="00DB64EB" w:rsidRPr="00871C35">
        <w:rPr>
          <w:rFonts w:cstheme="minorHAnsi"/>
          <w:b/>
          <w:bCs/>
          <w:sz w:val="21"/>
          <w:szCs w:val="21"/>
        </w:rPr>
        <w:t>RE:</w:t>
      </w:r>
      <w:r w:rsidR="00B7105B" w:rsidRPr="00871C35">
        <w:rPr>
          <w:rFonts w:cstheme="minorHAnsi"/>
          <w:b/>
          <w:bCs/>
          <w:sz w:val="21"/>
          <w:szCs w:val="21"/>
        </w:rPr>
        <w:t xml:space="preserve"> </w:t>
      </w:r>
      <w:r w:rsidR="00860C4F" w:rsidRPr="00860C4F">
        <w:rPr>
          <w:rFonts w:cstheme="minorHAnsi"/>
          <w:b/>
          <w:bCs/>
          <w:sz w:val="21"/>
          <w:szCs w:val="21"/>
        </w:rPr>
        <w:t xml:space="preserve">Request for My Patient to </w:t>
      </w:r>
      <w:r w:rsidR="00802A80">
        <w:rPr>
          <w:rFonts w:cstheme="minorHAnsi"/>
          <w:b/>
          <w:bCs/>
          <w:sz w:val="21"/>
          <w:szCs w:val="21"/>
        </w:rPr>
        <w:t>Start on</w:t>
      </w:r>
      <w:r w:rsidR="00860C4F" w:rsidRPr="00860C4F">
        <w:rPr>
          <w:rFonts w:cstheme="minorHAnsi"/>
          <w:b/>
          <w:bCs/>
          <w:sz w:val="21"/>
          <w:szCs w:val="21"/>
        </w:rPr>
        <w:t xml:space="preserve"> TYSABRI® (natalizumab) for Relapsing Multiple Sclerosis (RMS)</w:t>
      </w:r>
    </w:p>
    <w:p w14:paraId="056B33EF" w14:textId="56C8D280" w:rsidR="00F2791C" w:rsidRPr="00871C35" w:rsidRDefault="00DB64EB" w:rsidP="00860C4F">
      <w:pPr>
        <w:rPr>
          <w:rFonts w:cstheme="minorHAnsi"/>
          <w:sz w:val="21"/>
          <w:szCs w:val="21"/>
        </w:rPr>
      </w:pPr>
      <w:r w:rsidRPr="00871C35">
        <w:rPr>
          <w:rFonts w:cstheme="minorHAnsi"/>
          <w:sz w:val="21"/>
          <w:szCs w:val="21"/>
        </w:rPr>
        <w:t xml:space="preserve">Dear </w:t>
      </w:r>
      <w:r w:rsidRPr="00871C35">
        <w:rPr>
          <w:rFonts w:cstheme="minorHAnsi"/>
          <w:color w:val="CC0099"/>
          <w:sz w:val="21"/>
          <w:szCs w:val="21"/>
        </w:rPr>
        <w:t>[Health Plan Contact Name]</w:t>
      </w:r>
      <w:r w:rsidR="00F2791C" w:rsidRPr="00871C35">
        <w:rPr>
          <w:rFonts w:cstheme="minorHAnsi"/>
          <w:sz w:val="21"/>
          <w:szCs w:val="21"/>
        </w:rPr>
        <w:t>:</w:t>
      </w:r>
      <w:r w:rsidR="00FA3EE7" w:rsidRPr="00871C35">
        <w:rPr>
          <w:rFonts w:cstheme="minorHAnsi"/>
          <w:noProof/>
          <w:color w:val="000000" w:themeColor="text1"/>
          <w:sz w:val="21"/>
          <w:szCs w:val="21"/>
        </w:rPr>
        <w:t xml:space="preserve"> </w:t>
      </w:r>
    </w:p>
    <w:p w14:paraId="1E81F5CB" w14:textId="32ECAD68" w:rsidR="002202A4" w:rsidRDefault="002202A4" w:rsidP="00F2791C">
      <w:pPr>
        <w:tabs>
          <w:tab w:val="left" w:pos="3567"/>
        </w:tabs>
        <w:spacing w:line="240" w:lineRule="auto"/>
        <w:rPr>
          <w:rFonts w:cstheme="minorHAnsi"/>
          <w:sz w:val="21"/>
          <w:szCs w:val="21"/>
        </w:rPr>
      </w:pPr>
      <w:r w:rsidRPr="002202A4">
        <w:rPr>
          <w:rFonts w:cstheme="minorHAnsi"/>
          <w:sz w:val="21"/>
          <w:szCs w:val="21"/>
        </w:rPr>
        <w:t xml:space="preserve">I am writing this letter of medical necessity on behalf of </w:t>
      </w:r>
      <w:r w:rsidRPr="002202A4">
        <w:rPr>
          <w:rFonts w:cstheme="minorHAnsi"/>
          <w:color w:val="CC0099"/>
          <w:sz w:val="21"/>
          <w:szCs w:val="21"/>
        </w:rPr>
        <w:t xml:space="preserve">[Patient Name] </w:t>
      </w:r>
      <w:r w:rsidRPr="002202A4">
        <w:rPr>
          <w:rFonts w:cstheme="minorHAnsi"/>
          <w:sz w:val="21"/>
          <w:szCs w:val="21"/>
        </w:rPr>
        <w:t>to request coverage of TYSABRI® (natalizumab),</w:t>
      </w:r>
      <w:r w:rsidR="000310DB">
        <w:rPr>
          <w:rFonts w:cstheme="minorHAnsi"/>
          <w:sz w:val="21"/>
          <w:szCs w:val="21"/>
        </w:rPr>
        <w:t xml:space="preserve"> </w:t>
      </w:r>
      <w:r w:rsidR="000310DB" w:rsidRPr="00871C35">
        <w:rPr>
          <w:sz w:val="21"/>
          <w:szCs w:val="21"/>
        </w:rPr>
        <w:t>a United States Food and Drug Administration (FDA)</w:t>
      </w:r>
      <w:r w:rsidR="000310DB" w:rsidRPr="00871C35">
        <w:rPr>
          <w:rFonts w:cstheme="minorHAnsi"/>
          <w:sz w:val="21"/>
          <w:szCs w:val="21"/>
        </w:rPr>
        <w:t>-approved therapy for the treatment of patients with relapsing forms of multiple sclerosis (RMS)</w:t>
      </w:r>
      <w:r w:rsidRPr="002202A4">
        <w:rPr>
          <w:rFonts w:cstheme="minorHAnsi"/>
          <w:sz w:val="21"/>
          <w:szCs w:val="21"/>
        </w:rPr>
        <w:t>, to include clinically isolated syndrome, relapsing-remitting disease, and active secondary progressive disease, in adults.</w:t>
      </w:r>
      <w:r w:rsidRPr="002202A4">
        <w:rPr>
          <w:rFonts w:cstheme="minorHAnsi"/>
          <w:sz w:val="21"/>
          <w:szCs w:val="21"/>
          <w:vertAlign w:val="superscript"/>
        </w:rPr>
        <w:t>1</w:t>
      </w:r>
    </w:p>
    <w:p w14:paraId="76082FEF" w14:textId="2A210124" w:rsidR="002B0ED1" w:rsidRDefault="00DB64EB" w:rsidP="00DB64EB">
      <w:pPr>
        <w:tabs>
          <w:tab w:val="left" w:pos="3567"/>
        </w:tabs>
        <w:spacing w:line="240" w:lineRule="auto"/>
        <w:contextualSpacing/>
      </w:pPr>
      <w:r w:rsidRPr="00871C35">
        <w:rPr>
          <w:sz w:val="21"/>
          <w:szCs w:val="21"/>
        </w:rPr>
        <w:t xml:space="preserve">I am a </w:t>
      </w:r>
      <w:proofErr w:type="gramStart"/>
      <w:r w:rsidRPr="00871C35">
        <w:rPr>
          <w:sz w:val="21"/>
          <w:szCs w:val="21"/>
        </w:rPr>
        <w:t xml:space="preserve">board-certified </w:t>
      </w:r>
      <w:r w:rsidRPr="00871C35">
        <w:rPr>
          <w:color w:val="CC0099"/>
          <w:sz w:val="21"/>
          <w:szCs w:val="21"/>
        </w:rPr>
        <w:t>[field of certification]</w:t>
      </w:r>
      <w:proofErr w:type="gramEnd"/>
      <w:r w:rsidRPr="00871C35">
        <w:rPr>
          <w:sz w:val="21"/>
          <w:szCs w:val="21"/>
        </w:rPr>
        <w:t xml:space="preserve"> and have been treating </w:t>
      </w:r>
      <w:r w:rsidRPr="00871C35">
        <w:rPr>
          <w:color w:val="CC0099"/>
          <w:sz w:val="21"/>
          <w:szCs w:val="21"/>
        </w:rPr>
        <w:t>[Patient Name]</w:t>
      </w:r>
      <w:r w:rsidRPr="00871C35">
        <w:rPr>
          <w:sz w:val="21"/>
          <w:szCs w:val="21"/>
        </w:rPr>
        <w:t xml:space="preserve"> for </w:t>
      </w:r>
      <w:r w:rsidRPr="00871C35">
        <w:rPr>
          <w:color w:val="CC0099"/>
          <w:sz w:val="21"/>
          <w:szCs w:val="21"/>
        </w:rPr>
        <w:t>[XX]</w:t>
      </w:r>
      <w:r w:rsidRPr="00871C35">
        <w:rPr>
          <w:sz w:val="21"/>
          <w:szCs w:val="21"/>
        </w:rPr>
        <w:t xml:space="preserve"> </w:t>
      </w:r>
      <w:r w:rsidRPr="00871C35">
        <w:rPr>
          <w:color w:val="CC0099"/>
          <w:sz w:val="21"/>
          <w:szCs w:val="21"/>
        </w:rPr>
        <w:t xml:space="preserve">[months/years]. </w:t>
      </w:r>
      <w:r w:rsidR="00C938CF">
        <w:rPr>
          <w:rFonts w:cstheme="minorHAnsi"/>
        </w:rPr>
        <w:t>I</w:t>
      </w:r>
      <w:r w:rsidR="00C938CF">
        <w:t xml:space="preserve">n my clinical opinion, </w:t>
      </w:r>
      <w:r w:rsidR="00C938CF" w:rsidRPr="00D47BEF">
        <w:rPr>
          <w:color w:val="CC0099"/>
        </w:rPr>
        <w:t xml:space="preserve">[Patient Name] </w:t>
      </w:r>
      <w:r w:rsidR="00C938CF">
        <w:t>should receive TYSABRI for the following reasons:</w:t>
      </w:r>
    </w:p>
    <w:p w14:paraId="1A17CE13" w14:textId="6A97CF30" w:rsidR="00DB64EB" w:rsidRPr="0003724C" w:rsidRDefault="00DB64EB" w:rsidP="00DB64EB">
      <w:pPr>
        <w:pStyle w:val="ListParagraph"/>
        <w:numPr>
          <w:ilvl w:val="0"/>
          <w:numId w:val="37"/>
        </w:numPr>
        <w:tabs>
          <w:tab w:val="left" w:pos="3567"/>
        </w:tabs>
        <w:spacing w:line="240" w:lineRule="auto"/>
        <w:rPr>
          <w:rFonts w:cstheme="minorHAnsi"/>
          <w:color w:val="CC0099"/>
          <w:sz w:val="21"/>
          <w:szCs w:val="21"/>
        </w:rPr>
      </w:pPr>
      <w:r w:rsidRPr="0003724C">
        <w:rPr>
          <w:color w:val="CC0099"/>
          <w:sz w:val="21"/>
          <w:szCs w:val="21"/>
        </w:rPr>
        <w:t xml:space="preserve">[HCP to </w:t>
      </w:r>
      <w:r w:rsidR="00021D0F">
        <w:rPr>
          <w:color w:val="CC0099"/>
          <w:sz w:val="21"/>
          <w:szCs w:val="21"/>
        </w:rPr>
        <w:t>summarize</w:t>
      </w:r>
      <w:r w:rsidRPr="0003724C">
        <w:rPr>
          <w:color w:val="CC0099"/>
          <w:sz w:val="21"/>
          <w:szCs w:val="21"/>
        </w:rPr>
        <w:t xml:space="preserve"> reasons the preferred drugs on formulary are not appropriate]</w:t>
      </w:r>
    </w:p>
    <w:p w14:paraId="370B21D2" w14:textId="6A440731" w:rsidR="00DB64EB" w:rsidRPr="00871C35" w:rsidRDefault="00DB64EB" w:rsidP="00DB64EB">
      <w:pPr>
        <w:tabs>
          <w:tab w:val="left" w:pos="3567"/>
        </w:tabs>
        <w:spacing w:line="240" w:lineRule="auto"/>
        <w:rPr>
          <w:rFonts w:cstheme="minorHAnsi"/>
          <w:sz w:val="21"/>
          <w:szCs w:val="21"/>
        </w:rPr>
      </w:pPr>
      <w:r w:rsidRPr="00871C35">
        <w:rPr>
          <w:sz w:val="21"/>
          <w:szCs w:val="21"/>
        </w:rPr>
        <w:t xml:space="preserve">Please see below for </w:t>
      </w:r>
      <w:r w:rsidR="002C401E" w:rsidRPr="00871C35">
        <w:rPr>
          <w:color w:val="CC0099"/>
          <w:sz w:val="21"/>
          <w:szCs w:val="21"/>
        </w:rPr>
        <w:t>[Patient Name]</w:t>
      </w:r>
      <w:r w:rsidR="002C401E" w:rsidRPr="00871C35">
        <w:rPr>
          <w:sz w:val="21"/>
          <w:szCs w:val="21"/>
        </w:rPr>
        <w:t>’s medical history and prognosis, and the rationale for treatment with TYSABRI.</w:t>
      </w:r>
    </w:p>
    <w:p w14:paraId="512DC42F" w14:textId="01A2916D" w:rsidR="000219E6" w:rsidRPr="00871C35" w:rsidRDefault="00DB64EB" w:rsidP="00C65117">
      <w:pPr>
        <w:tabs>
          <w:tab w:val="left" w:pos="3567"/>
        </w:tabs>
        <w:spacing w:after="120" w:line="240" w:lineRule="auto"/>
        <w:rPr>
          <w:rFonts w:cstheme="minorHAnsi"/>
          <w:b/>
          <w:bCs/>
          <w:color w:val="002060"/>
          <w:sz w:val="21"/>
          <w:szCs w:val="21"/>
        </w:rPr>
      </w:pPr>
      <w:r w:rsidRPr="00871C35">
        <w:rPr>
          <w:rFonts w:cstheme="minorHAnsi"/>
          <w:b/>
          <w:bCs/>
          <w:color w:val="002060"/>
          <w:sz w:val="21"/>
          <w:szCs w:val="21"/>
        </w:rPr>
        <w:t>PATIENT MEDICAL SUMMARY</w:t>
      </w:r>
    </w:p>
    <w:p w14:paraId="18E51F88" w14:textId="77777777" w:rsidR="00DB64EB" w:rsidRPr="00871C35" w:rsidRDefault="00DB64EB"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[Date of diagnosis and ICD-10 code(s)]</w:t>
      </w:r>
    </w:p>
    <w:p w14:paraId="28F75556" w14:textId="77777777" w:rsidR="00DB64EB" w:rsidRPr="00871C35" w:rsidRDefault="00DB64EB"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[Magnetic resonance imaging (MRI) data]</w:t>
      </w:r>
      <w:r w:rsidRPr="00871C35" w:rsidDel="00F04E45">
        <w:rPr>
          <w:rFonts w:cstheme="minorHAnsi"/>
          <w:color w:val="CC0099"/>
          <w:sz w:val="21"/>
          <w:szCs w:val="21"/>
        </w:rPr>
        <w:t xml:space="preserve"> </w:t>
      </w:r>
    </w:p>
    <w:p w14:paraId="3FA57752" w14:textId="2569C179" w:rsidR="006C6248" w:rsidRPr="00871C35" w:rsidRDefault="006C6248"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[Physical disability, including description and related test results]</w:t>
      </w:r>
    </w:p>
    <w:p w14:paraId="2A233402" w14:textId="6E369956" w:rsidR="00DB64EB" w:rsidRPr="00871C35" w:rsidRDefault="00DB64EB"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 xml:space="preserve">[History of relapse(s), including dates and symptoms]  </w:t>
      </w:r>
    </w:p>
    <w:p w14:paraId="238EF31D" w14:textId="77777777" w:rsidR="00DB64EB" w:rsidRPr="00871C35" w:rsidRDefault="00DB64EB" w:rsidP="00DB64EB">
      <w:pPr>
        <w:numPr>
          <w:ilvl w:val="0"/>
          <w:numId w:val="10"/>
        </w:numPr>
        <w:spacing w:after="60" w:line="240" w:lineRule="auto"/>
        <w:contextualSpacing/>
        <w:rPr>
          <w:rFonts w:cstheme="minorHAnsi"/>
          <w:color w:val="CC0099"/>
          <w:sz w:val="21"/>
          <w:szCs w:val="21"/>
        </w:rPr>
      </w:pPr>
      <w:r w:rsidRPr="00871C35">
        <w:rPr>
          <w:rFonts w:cstheme="minorHAnsi"/>
          <w:color w:val="CC0099"/>
          <w:sz w:val="21"/>
          <w:szCs w:val="21"/>
        </w:rPr>
        <w:t>[Pertinent laboratory values]</w:t>
      </w:r>
    </w:p>
    <w:p w14:paraId="176D9E88" w14:textId="7AF021F8" w:rsidR="004B0AF7" w:rsidRPr="004B0AF7" w:rsidRDefault="004B0AF7" w:rsidP="004B0AF7">
      <w:pPr>
        <w:numPr>
          <w:ilvl w:val="0"/>
          <w:numId w:val="10"/>
        </w:numPr>
        <w:spacing w:after="60" w:line="240" w:lineRule="auto"/>
        <w:contextualSpacing/>
        <w:rPr>
          <w:rFonts w:cstheme="minorHAnsi"/>
          <w:color w:val="CC0099"/>
          <w:sz w:val="21"/>
          <w:szCs w:val="21"/>
        </w:rPr>
      </w:pPr>
      <w:r>
        <w:rPr>
          <w:color w:val="CC0099"/>
          <w:sz w:val="21"/>
          <w:szCs w:val="21"/>
        </w:rPr>
        <w:t>[Clinical data indicating response to TYSABRI treatment]</w:t>
      </w:r>
    </w:p>
    <w:p w14:paraId="020C0E11" w14:textId="77777777" w:rsidR="00EE7616" w:rsidRPr="00871C35" w:rsidRDefault="00EE7616" w:rsidP="00EE7616">
      <w:pPr>
        <w:spacing w:after="0" w:line="240" w:lineRule="auto"/>
        <w:contextualSpacing/>
        <w:rPr>
          <w:rFonts w:cstheme="minorHAnsi"/>
          <w:sz w:val="21"/>
          <w:szCs w:val="21"/>
        </w:rPr>
      </w:pPr>
    </w:p>
    <w:p w14:paraId="7356BBFF" w14:textId="4EF11F3E" w:rsidR="00DB64EB" w:rsidRPr="00871C35" w:rsidRDefault="00DB64EB" w:rsidP="00C65117">
      <w:pPr>
        <w:spacing w:after="120"/>
        <w:rPr>
          <w:rFonts w:cstheme="minorHAnsi"/>
          <w:b/>
          <w:bCs/>
          <w:color w:val="002060"/>
          <w:sz w:val="21"/>
          <w:szCs w:val="21"/>
        </w:rPr>
      </w:pPr>
      <w:r w:rsidRPr="00871C35">
        <w:rPr>
          <w:rFonts w:cstheme="minorHAnsi"/>
          <w:b/>
          <w:bCs/>
          <w:color w:val="002060"/>
          <w:sz w:val="21"/>
          <w:szCs w:val="21"/>
        </w:rPr>
        <w:t xml:space="preserve">TREATMENT RATIONALE </w:t>
      </w:r>
    </w:p>
    <w:p w14:paraId="2F8F61E9" w14:textId="34A8492B" w:rsidR="00DB64EB" w:rsidRPr="00B537C3" w:rsidRDefault="00DB64EB" w:rsidP="00B537C3">
      <w:pPr>
        <w:pStyle w:val="ListParagraph"/>
        <w:numPr>
          <w:ilvl w:val="0"/>
          <w:numId w:val="38"/>
        </w:numPr>
        <w:rPr>
          <w:color w:val="CC0099"/>
          <w:sz w:val="21"/>
          <w:szCs w:val="21"/>
        </w:rPr>
      </w:pPr>
      <w:r w:rsidRPr="00871C35">
        <w:rPr>
          <w:color w:val="CC0099"/>
          <w:sz w:val="21"/>
          <w:szCs w:val="21"/>
        </w:rPr>
        <w:t>[HCP to insert reason(s) for recommending TYSABRI based on medical history and comorbidities, breakthrough disease activity, EDSS history, medication intolerance, contraindications/allergies, or changes in MS QoL assessment]</w:t>
      </w:r>
    </w:p>
    <w:p w14:paraId="5F0C7E0F" w14:textId="4178A7D4" w:rsidR="00C3765A" w:rsidRDefault="005F005A" w:rsidP="0099452E">
      <w:pPr>
        <w:pStyle w:val="ListParagraph"/>
        <w:numPr>
          <w:ilvl w:val="0"/>
          <w:numId w:val="38"/>
        </w:numPr>
        <w:spacing w:after="0"/>
        <w:rPr>
          <w:color w:val="CC0099"/>
          <w:sz w:val="21"/>
          <w:szCs w:val="21"/>
        </w:rPr>
      </w:pPr>
      <w:r w:rsidRPr="00871C35">
        <w:rPr>
          <w:color w:val="CC0099"/>
          <w:sz w:val="21"/>
          <w:szCs w:val="21"/>
        </w:rPr>
        <w:t xml:space="preserve">[HCP to insert </w:t>
      </w:r>
      <w:r w:rsidR="00615567">
        <w:rPr>
          <w:color w:val="CC0099"/>
          <w:sz w:val="21"/>
          <w:szCs w:val="21"/>
        </w:rPr>
        <w:t>other</w:t>
      </w:r>
      <w:r w:rsidR="00144BAE" w:rsidRPr="00871C35">
        <w:rPr>
          <w:color w:val="CC0099"/>
          <w:sz w:val="21"/>
          <w:szCs w:val="21"/>
        </w:rPr>
        <w:t xml:space="preserve"> </w:t>
      </w:r>
      <w:r w:rsidR="005F5FCB">
        <w:rPr>
          <w:color w:val="CC0099"/>
          <w:sz w:val="21"/>
          <w:szCs w:val="21"/>
        </w:rPr>
        <w:t>relevant</w:t>
      </w:r>
      <w:r w:rsidR="00DB64EB" w:rsidRPr="00871C35">
        <w:rPr>
          <w:color w:val="CC0099"/>
          <w:sz w:val="21"/>
          <w:szCs w:val="21"/>
        </w:rPr>
        <w:t xml:space="preserve"> clinical data</w:t>
      </w:r>
      <w:r w:rsidR="00FA63B0">
        <w:rPr>
          <w:color w:val="CC0099"/>
          <w:sz w:val="21"/>
          <w:szCs w:val="21"/>
        </w:rPr>
        <w:t xml:space="preserve"> specific to their patient</w:t>
      </w:r>
      <w:r w:rsidR="00DB64EB" w:rsidRPr="00871C35">
        <w:rPr>
          <w:color w:val="CC0099"/>
          <w:sz w:val="21"/>
          <w:szCs w:val="21"/>
        </w:rPr>
        <w:t xml:space="preserve"> </w:t>
      </w:r>
      <w:r w:rsidR="00534DE8" w:rsidRPr="00871C35">
        <w:rPr>
          <w:color w:val="CC0099"/>
          <w:sz w:val="21"/>
          <w:szCs w:val="21"/>
        </w:rPr>
        <w:t>such as:</w:t>
      </w:r>
      <w:r w:rsidR="00C3765A" w:rsidRPr="00871C35">
        <w:rPr>
          <w:color w:val="CC0099"/>
          <w:sz w:val="21"/>
          <w:szCs w:val="21"/>
        </w:rPr>
        <w:t>]</w:t>
      </w:r>
    </w:p>
    <w:p w14:paraId="788D47C6" w14:textId="77777777" w:rsidR="00D0462E" w:rsidRPr="00D0462E" w:rsidRDefault="00D0462E" w:rsidP="00D0462E">
      <w:pPr>
        <w:spacing w:after="0"/>
        <w:rPr>
          <w:color w:val="CC0099"/>
          <w:sz w:val="21"/>
          <w:szCs w:val="21"/>
        </w:rPr>
      </w:pPr>
    </w:p>
    <w:p w14:paraId="1FBE3539" w14:textId="77777777" w:rsidR="00C3765A" w:rsidRPr="00C3765A" w:rsidRDefault="00C3765A" w:rsidP="00C3765A">
      <w:pPr>
        <w:pStyle w:val="ListParagraph"/>
        <w:spacing w:after="0"/>
        <w:rPr>
          <w:color w:val="CC0099"/>
          <w:sz w:val="2"/>
          <w:szCs w:val="2"/>
        </w:rPr>
      </w:pPr>
    </w:p>
    <w:tbl>
      <w:tblPr>
        <w:tblStyle w:val="TableGrid"/>
        <w:tblW w:w="11340" w:type="dxa"/>
        <w:tblInd w:w="-275" w:type="dxa"/>
        <w:tblLayout w:type="fixed"/>
        <w:tblLook w:val="04A0" w:firstRow="1" w:lastRow="0" w:firstColumn="1" w:lastColumn="0" w:noHBand="0" w:noVBand="1"/>
      </w:tblPr>
      <w:tblGrid>
        <w:gridCol w:w="1530"/>
        <w:gridCol w:w="9810"/>
      </w:tblGrid>
      <w:tr w:rsidR="00A139AC" w14:paraId="7B204A38" w14:textId="77777777" w:rsidTr="009404A0">
        <w:tc>
          <w:tcPr>
            <w:tcW w:w="1530" w:type="dxa"/>
            <w:shd w:val="clear" w:color="auto" w:fill="auto"/>
            <w:vAlign w:val="center"/>
          </w:tcPr>
          <w:p w14:paraId="2D05660C" w14:textId="77777777" w:rsidR="00A139AC" w:rsidRDefault="00A139AC" w:rsidP="009404A0">
            <w:pPr>
              <w:pStyle w:val="ListParagraph"/>
              <w:ind w:left="0"/>
              <w:jc w:val="center"/>
              <w:rPr>
                <w:rFonts w:cstheme="minorHAnsi"/>
                <w:b/>
                <w:bCs/>
                <w:color w:val="CC0099"/>
                <w:sz w:val="20"/>
                <w:szCs w:val="20"/>
              </w:rPr>
            </w:pPr>
            <w:r>
              <w:rPr>
                <w:rFonts w:cstheme="minorHAnsi"/>
                <w:b/>
                <w:bCs/>
                <w:color w:val="CC0099"/>
                <w:sz w:val="20"/>
                <w:szCs w:val="20"/>
              </w:rPr>
              <w:t>SHORT-TERM</w:t>
            </w:r>
          </w:p>
          <w:p w14:paraId="4328ADC1" w14:textId="77777777" w:rsidR="00A139AC" w:rsidRDefault="00A139AC" w:rsidP="009404A0">
            <w:pPr>
              <w:pStyle w:val="ListParagraph"/>
              <w:ind w:left="0"/>
              <w:jc w:val="center"/>
              <w:rPr>
                <w:rFonts w:cstheme="minorHAnsi"/>
                <w:b/>
                <w:bCs/>
                <w:color w:val="CC0099"/>
                <w:sz w:val="20"/>
                <w:szCs w:val="20"/>
              </w:rPr>
            </w:pPr>
            <w:r>
              <w:rPr>
                <w:rFonts w:cstheme="minorHAnsi"/>
                <w:b/>
                <w:bCs/>
                <w:color w:val="CC0099"/>
                <w:sz w:val="20"/>
                <w:szCs w:val="20"/>
              </w:rPr>
              <w:t>&amp; LONG-TERM</w:t>
            </w:r>
          </w:p>
          <w:p w14:paraId="0A9EA553" w14:textId="77777777" w:rsidR="00A139AC" w:rsidRPr="00C709BA" w:rsidRDefault="00A139AC" w:rsidP="009404A0">
            <w:pPr>
              <w:pStyle w:val="ListParagraph"/>
              <w:ind w:left="0"/>
              <w:jc w:val="center"/>
              <w:rPr>
                <w:rFonts w:cstheme="minorHAnsi"/>
                <w:b/>
                <w:bCs/>
                <w:color w:val="CC0099"/>
              </w:rPr>
            </w:pPr>
            <w:r w:rsidRPr="00432F8F">
              <w:rPr>
                <w:rFonts w:cstheme="minorHAnsi"/>
                <w:b/>
                <w:bCs/>
                <w:color w:val="CC0099"/>
                <w:sz w:val="20"/>
                <w:szCs w:val="20"/>
              </w:rPr>
              <w:t>EFFICACY</w:t>
            </w:r>
          </w:p>
        </w:tc>
        <w:tc>
          <w:tcPr>
            <w:tcW w:w="9810" w:type="dxa"/>
            <w:shd w:val="clear" w:color="auto" w:fill="auto"/>
          </w:tcPr>
          <w:p w14:paraId="03391D53" w14:textId="77777777" w:rsidR="00A139AC" w:rsidRPr="00832C5D" w:rsidRDefault="00A139AC" w:rsidP="009404A0">
            <w:pPr>
              <w:pStyle w:val="ListParagraph"/>
              <w:numPr>
                <w:ilvl w:val="0"/>
                <w:numId w:val="52"/>
              </w:numPr>
              <w:spacing w:after="0"/>
              <w:ind w:left="504"/>
              <w:contextualSpacing w:val="0"/>
              <w:rPr>
                <w:rFonts w:cstheme="minorHAnsi"/>
                <w:i/>
                <w:iCs/>
                <w:color w:val="CC0099"/>
                <w:sz w:val="20"/>
                <w:szCs w:val="20"/>
              </w:rPr>
            </w:pPr>
            <w:r w:rsidRPr="00832C5D">
              <w:rPr>
                <w:rFonts w:cstheme="minorHAnsi"/>
                <w:i/>
                <w:iCs/>
                <w:color w:val="CC0099"/>
                <w:sz w:val="20"/>
                <w:szCs w:val="20"/>
              </w:rPr>
              <w:t>In the 2-year AFFIRM trial, more than 80% of people treated with TYSABRI had no progression of disability, compared to 71% taking placebo.</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4126A729" w14:textId="77777777" w:rsidR="00A139AC" w:rsidRPr="00832C5D" w:rsidRDefault="00A139AC" w:rsidP="009404A0">
            <w:pPr>
              <w:pStyle w:val="ListParagraph"/>
              <w:numPr>
                <w:ilvl w:val="1"/>
                <w:numId w:val="52"/>
              </w:numPr>
              <w:spacing w:after="0"/>
              <w:ind w:left="792"/>
              <w:contextualSpacing w:val="0"/>
              <w:rPr>
                <w:rFonts w:cstheme="minorHAnsi"/>
                <w:i/>
                <w:iCs/>
                <w:color w:val="CC0099"/>
                <w:sz w:val="20"/>
                <w:szCs w:val="20"/>
              </w:rPr>
            </w:pPr>
            <w:r w:rsidRPr="00832C5D">
              <w:rPr>
                <w:rFonts w:cstheme="minorHAnsi"/>
                <w:i/>
                <w:iCs/>
                <w:color w:val="CC0099"/>
                <w:sz w:val="20"/>
                <w:szCs w:val="20"/>
              </w:rPr>
              <w:t>Nearly 70% of people treated with TYSABRI had remained relapse free, compared to 41% taking</w:t>
            </w:r>
            <w:r w:rsidRPr="00832C5D">
              <w:rPr>
                <w:rFonts w:cstheme="minorHAnsi"/>
                <w:b/>
                <w:bCs/>
                <w:i/>
                <w:iCs/>
                <w:color w:val="CC0099"/>
                <w:sz w:val="20"/>
                <w:szCs w:val="20"/>
              </w:rPr>
              <w:t xml:space="preserve"> </w:t>
            </w:r>
            <w:r w:rsidRPr="00832C5D">
              <w:rPr>
                <w:rFonts w:cstheme="minorHAnsi"/>
                <w:i/>
                <w:iCs/>
                <w:color w:val="CC0099"/>
                <w:sz w:val="20"/>
                <w:szCs w:val="20"/>
              </w:rPr>
              <w:t>placebo.</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02E7979B" w14:textId="77777777" w:rsidR="00A139AC" w:rsidRPr="00832C5D" w:rsidRDefault="00A139AC" w:rsidP="009404A0">
            <w:pPr>
              <w:pStyle w:val="ListParagraph"/>
              <w:numPr>
                <w:ilvl w:val="1"/>
                <w:numId w:val="52"/>
              </w:numPr>
              <w:spacing w:after="120"/>
              <w:ind w:left="792"/>
              <w:contextualSpacing w:val="0"/>
              <w:rPr>
                <w:rFonts w:cstheme="minorHAnsi"/>
                <w:i/>
                <w:iCs/>
                <w:color w:val="CC0099"/>
                <w:sz w:val="20"/>
                <w:szCs w:val="20"/>
              </w:rPr>
            </w:pPr>
            <w:r w:rsidRPr="00832C5D">
              <w:rPr>
                <w:rFonts w:cstheme="minorHAnsi"/>
                <w:i/>
                <w:iCs/>
                <w:color w:val="CC0099"/>
                <w:sz w:val="20"/>
                <w:szCs w:val="20"/>
              </w:rPr>
              <w:t>97% of people treated with TYSABRI had no new Gd+ lesions that showed disease activity on an MRI, compared with 72% taking placebo</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09AFD946" w14:textId="5A20C40D" w:rsidR="00A139AC" w:rsidRPr="00832C5D" w:rsidRDefault="00A139AC" w:rsidP="009404A0">
            <w:pPr>
              <w:pStyle w:val="ListParagraph"/>
              <w:numPr>
                <w:ilvl w:val="0"/>
                <w:numId w:val="46"/>
              </w:numPr>
              <w:spacing w:after="0"/>
              <w:ind w:left="504"/>
              <w:contextualSpacing w:val="0"/>
              <w:rPr>
                <w:rFonts w:cstheme="minorHAnsi"/>
                <w:i/>
                <w:iCs/>
                <w:color w:val="CC0099"/>
                <w:sz w:val="20"/>
                <w:szCs w:val="20"/>
              </w:rPr>
            </w:pPr>
            <w:r w:rsidRPr="00832C5D">
              <w:rPr>
                <w:rFonts w:cstheme="minorHAnsi"/>
                <w:i/>
                <w:iCs/>
                <w:color w:val="CC0099"/>
                <w:sz w:val="20"/>
                <w:szCs w:val="20"/>
              </w:rPr>
              <w:t>In the TOP trial, TYSABRI reduced relapses by 88% in Year 1 with low ARRs (</w:t>
            </w:r>
            <w:r w:rsidR="003359AE">
              <w:rPr>
                <w:rFonts w:cstheme="minorHAnsi"/>
                <w:i/>
                <w:iCs/>
                <w:color w:val="CC0099"/>
                <w:sz w:val="20"/>
                <w:szCs w:val="20"/>
              </w:rPr>
              <w:t>&lt;</w:t>
            </w:r>
            <w:r w:rsidRPr="00832C5D">
              <w:rPr>
                <w:rFonts w:cstheme="minorHAnsi"/>
                <w:i/>
                <w:iCs/>
                <w:color w:val="CC0099"/>
                <w:sz w:val="20"/>
                <w:szCs w:val="20"/>
              </w:rPr>
              <w:t>0.20) sustained out to 15 years.</w:t>
            </w:r>
            <w:r w:rsidRPr="00832C5D">
              <w:rPr>
                <w:rFonts w:cstheme="minorHAnsi"/>
                <w:i/>
                <w:iCs/>
                <w:color w:val="CC0099"/>
                <w:sz w:val="20"/>
                <w:szCs w:val="20"/>
                <w:vertAlign w:val="superscript"/>
              </w:rPr>
              <w:t>2</w:t>
            </w:r>
            <w:r w:rsidRPr="00832C5D">
              <w:rPr>
                <w:rFonts w:cstheme="minorHAnsi"/>
                <w:i/>
                <w:iCs/>
                <w:color w:val="CC0099"/>
                <w:sz w:val="20"/>
                <w:szCs w:val="20"/>
              </w:rPr>
              <w:t xml:space="preserve"> </w:t>
            </w:r>
          </w:p>
          <w:p w14:paraId="3A2EFC3E" w14:textId="77777777" w:rsidR="00A139AC" w:rsidRPr="000D36AE" w:rsidRDefault="00A139AC" w:rsidP="009404A0">
            <w:pPr>
              <w:pStyle w:val="ListParagraph"/>
              <w:numPr>
                <w:ilvl w:val="1"/>
                <w:numId w:val="46"/>
              </w:numPr>
              <w:spacing w:after="120"/>
              <w:ind w:left="792"/>
              <w:contextualSpacing w:val="0"/>
              <w:rPr>
                <w:rFonts w:cstheme="minorHAnsi"/>
                <w:i/>
                <w:iCs/>
                <w:color w:val="CC0099"/>
                <w:sz w:val="20"/>
                <w:szCs w:val="20"/>
              </w:rPr>
            </w:pPr>
            <w:r w:rsidRPr="00832C5D">
              <w:rPr>
                <w:rFonts w:cstheme="minorHAnsi"/>
                <w:i/>
                <w:iCs/>
                <w:color w:val="CC0099"/>
                <w:sz w:val="20"/>
                <w:szCs w:val="20"/>
              </w:rPr>
              <w:t>Additionally, the median EDSS scores were stable across 10 years with TYSABRI</w:t>
            </w:r>
            <w:r w:rsidRPr="00832C5D">
              <w:rPr>
                <w:rFonts w:cstheme="minorHAnsi"/>
                <w:i/>
                <w:iCs/>
                <w:color w:val="CC0099"/>
                <w:sz w:val="20"/>
                <w:szCs w:val="20"/>
                <w:vertAlign w:val="superscript"/>
              </w:rPr>
              <w:t>4</w:t>
            </w:r>
          </w:p>
          <w:p w14:paraId="378FAEA1" w14:textId="77777777" w:rsidR="00A139AC" w:rsidRDefault="00A139AC" w:rsidP="009404A0">
            <w:pPr>
              <w:pStyle w:val="ListParagraph"/>
              <w:numPr>
                <w:ilvl w:val="0"/>
                <w:numId w:val="46"/>
              </w:numPr>
              <w:spacing w:after="0"/>
              <w:ind w:left="504"/>
              <w:contextualSpacing w:val="0"/>
              <w:rPr>
                <w:rFonts w:cstheme="minorHAnsi"/>
                <w:i/>
                <w:iCs/>
                <w:color w:val="CC0099"/>
                <w:sz w:val="20"/>
                <w:szCs w:val="20"/>
              </w:rPr>
            </w:pPr>
            <w:r w:rsidRPr="00832C5D">
              <w:rPr>
                <w:rFonts w:cstheme="minorHAnsi"/>
                <w:i/>
                <w:iCs/>
                <w:color w:val="CC0099"/>
                <w:sz w:val="20"/>
                <w:szCs w:val="20"/>
              </w:rPr>
              <w:t xml:space="preserve">Efficacy was seen as early as </w:t>
            </w:r>
            <w:proofErr w:type="spellStart"/>
            <w:r w:rsidRPr="00832C5D">
              <w:rPr>
                <w:rFonts w:cstheme="minorHAnsi"/>
                <w:i/>
                <w:iCs/>
                <w:color w:val="CC0099"/>
                <w:sz w:val="20"/>
                <w:szCs w:val="20"/>
              </w:rPr>
              <w:t>Day</w:t>
            </w:r>
            <w:proofErr w:type="spellEnd"/>
            <w:r w:rsidRPr="00832C5D">
              <w:rPr>
                <w:rFonts w:cstheme="minorHAnsi"/>
                <w:i/>
                <w:iCs/>
                <w:color w:val="CC0099"/>
                <w:sz w:val="20"/>
                <w:szCs w:val="20"/>
              </w:rPr>
              <w:t xml:space="preserve"> 42 in a post-hoc analysis of AFFIRM data, with patients treated with TYSBARI having a 5.4% risk of relapse, compared with 9.3% with placebo </w:t>
            </w:r>
            <w:r w:rsidRPr="00832C5D">
              <w:rPr>
                <w:rFonts w:cstheme="minorHAnsi"/>
                <w:i/>
                <w:iCs/>
                <w:color w:val="CC0099"/>
                <w:sz w:val="20"/>
                <w:szCs w:val="20"/>
                <w:lang w:val="it-IT"/>
              </w:rPr>
              <w:t>(HR: 0.56, 95% CI: 0.34-0.93)</w:t>
            </w:r>
            <w:r w:rsidRPr="00832C5D">
              <w:rPr>
                <w:rFonts w:cstheme="minorHAnsi"/>
                <w:i/>
                <w:iCs/>
                <w:color w:val="CC0099"/>
                <w:sz w:val="20"/>
                <w:szCs w:val="20"/>
                <w:vertAlign w:val="superscript"/>
                <w:lang w:val="it-IT"/>
              </w:rPr>
              <w:t>3</w:t>
            </w:r>
          </w:p>
          <w:p w14:paraId="1E2B386C" w14:textId="77777777" w:rsidR="00A139AC" w:rsidRPr="000D36AE" w:rsidRDefault="00A139AC" w:rsidP="009404A0">
            <w:pPr>
              <w:pStyle w:val="ListParagraph"/>
              <w:numPr>
                <w:ilvl w:val="0"/>
                <w:numId w:val="46"/>
              </w:numPr>
              <w:spacing w:after="0"/>
              <w:ind w:left="504"/>
              <w:contextualSpacing w:val="0"/>
              <w:rPr>
                <w:rFonts w:cstheme="minorHAnsi"/>
                <w:i/>
                <w:iCs/>
                <w:color w:val="CC0099"/>
                <w:sz w:val="20"/>
                <w:szCs w:val="20"/>
              </w:rPr>
            </w:pPr>
            <w:r w:rsidRPr="00103E5B">
              <w:rPr>
                <w:rFonts w:cstheme="minorHAnsi"/>
                <w:i/>
                <w:iCs/>
                <w:color w:val="CC0099"/>
                <w:sz w:val="20"/>
                <w:szCs w:val="20"/>
              </w:rPr>
              <w:t>TYSABRI has more than 15 years of clinical trial and real-world experience across 1 million+ patient-years, supporting its use as an effective treatment for my patient</w:t>
            </w:r>
          </w:p>
        </w:tc>
      </w:tr>
      <w:tr w:rsidR="00A139AC" w14:paraId="6EC2CDB2" w14:textId="77777777" w:rsidTr="009404A0">
        <w:tc>
          <w:tcPr>
            <w:tcW w:w="1530" w:type="dxa"/>
            <w:shd w:val="clear" w:color="auto" w:fill="auto"/>
            <w:vAlign w:val="center"/>
          </w:tcPr>
          <w:p w14:paraId="20CC2F05" w14:textId="77777777" w:rsidR="00A139AC" w:rsidRDefault="00A139AC" w:rsidP="009404A0">
            <w:pPr>
              <w:pStyle w:val="ListParagraph"/>
              <w:ind w:left="0"/>
              <w:jc w:val="center"/>
              <w:rPr>
                <w:rFonts w:cstheme="minorHAnsi"/>
                <w:b/>
                <w:bCs/>
                <w:color w:val="CC0099"/>
                <w:sz w:val="20"/>
                <w:szCs w:val="20"/>
              </w:rPr>
            </w:pPr>
            <w:r>
              <w:rPr>
                <w:rFonts w:cstheme="minorHAnsi"/>
                <w:b/>
                <w:bCs/>
                <w:color w:val="CC0099"/>
                <w:sz w:val="20"/>
                <w:szCs w:val="20"/>
              </w:rPr>
              <w:t>LONG-TERM</w:t>
            </w:r>
          </w:p>
          <w:p w14:paraId="5434A337" w14:textId="77777777" w:rsidR="00A139AC" w:rsidRPr="00C709BA" w:rsidRDefault="00A139AC" w:rsidP="009404A0">
            <w:pPr>
              <w:pStyle w:val="ListParagraph"/>
              <w:ind w:left="0"/>
              <w:jc w:val="center"/>
              <w:rPr>
                <w:rFonts w:cstheme="minorHAnsi"/>
                <w:b/>
                <w:bCs/>
                <w:color w:val="CC0099"/>
              </w:rPr>
            </w:pPr>
            <w:r w:rsidRPr="00432F8F">
              <w:rPr>
                <w:rFonts w:cstheme="minorHAnsi"/>
                <w:b/>
                <w:bCs/>
                <w:color w:val="CC0099"/>
                <w:sz w:val="20"/>
                <w:szCs w:val="20"/>
              </w:rPr>
              <w:t>SAFETY</w:t>
            </w:r>
          </w:p>
        </w:tc>
        <w:tc>
          <w:tcPr>
            <w:tcW w:w="9810" w:type="dxa"/>
            <w:shd w:val="clear" w:color="auto" w:fill="auto"/>
          </w:tcPr>
          <w:p w14:paraId="02664B01" w14:textId="77777777" w:rsidR="00A139AC" w:rsidRPr="004D6BB6" w:rsidRDefault="00A139AC" w:rsidP="009404A0">
            <w:pPr>
              <w:pStyle w:val="ListParagraph"/>
              <w:numPr>
                <w:ilvl w:val="0"/>
                <w:numId w:val="46"/>
              </w:numPr>
              <w:spacing w:after="120"/>
              <w:ind w:left="504"/>
              <w:contextualSpacing w:val="0"/>
              <w:rPr>
                <w:i/>
                <w:iCs/>
                <w:color w:val="CC0099"/>
                <w:sz w:val="20"/>
                <w:szCs w:val="20"/>
              </w:rPr>
            </w:pPr>
            <w:r w:rsidRPr="00A32D0D">
              <w:rPr>
                <w:i/>
                <w:iCs/>
                <w:color w:val="CC0099"/>
                <w:sz w:val="20"/>
                <w:szCs w:val="20"/>
              </w:rPr>
              <w:t>Results from the 15-year TOP trial evaluating TYSABRI's long-term safety showed real world data consistent with AFFIRM data and no new safety concerns were identified.</w:t>
            </w:r>
            <w:r w:rsidRPr="00207EC5">
              <w:rPr>
                <w:i/>
                <w:iCs/>
                <w:color w:val="CC0099"/>
                <w:sz w:val="20"/>
                <w:szCs w:val="20"/>
                <w:vertAlign w:val="superscript"/>
              </w:rPr>
              <w:t>4</w:t>
            </w:r>
          </w:p>
          <w:p w14:paraId="2958068F" w14:textId="77777777" w:rsidR="00A139AC" w:rsidRPr="004D6BB6" w:rsidRDefault="00A139AC" w:rsidP="009404A0">
            <w:pPr>
              <w:pStyle w:val="ListParagraph"/>
              <w:numPr>
                <w:ilvl w:val="0"/>
                <w:numId w:val="46"/>
              </w:numPr>
              <w:spacing w:after="120"/>
              <w:ind w:left="504"/>
              <w:contextualSpacing w:val="0"/>
              <w:rPr>
                <w:i/>
                <w:iCs/>
                <w:color w:val="CC0099"/>
                <w:sz w:val="20"/>
                <w:szCs w:val="20"/>
              </w:rPr>
            </w:pPr>
            <w:r w:rsidRPr="004D6BB6">
              <w:rPr>
                <w:i/>
                <w:iCs/>
                <w:color w:val="CC0099"/>
                <w:sz w:val="20"/>
                <w:szCs w:val="20"/>
              </w:rPr>
              <w:lastRenderedPageBreak/>
              <w:t xml:space="preserve">In the 5-year TYGRIS trial, rates of opportunistic infections and malignancies in patients taking TYSABRI were low, and rates of malignancies were </w:t>
            </w:r>
            <w:proofErr w:type="gramStart"/>
            <w:r w:rsidRPr="004D6BB6">
              <w:rPr>
                <w:i/>
                <w:iCs/>
                <w:color w:val="CC0099"/>
                <w:sz w:val="20"/>
                <w:szCs w:val="20"/>
              </w:rPr>
              <w:t>similar to</w:t>
            </w:r>
            <w:proofErr w:type="gramEnd"/>
            <w:r w:rsidRPr="004D6BB6">
              <w:rPr>
                <w:i/>
                <w:iCs/>
                <w:color w:val="CC0099"/>
                <w:sz w:val="20"/>
                <w:szCs w:val="20"/>
              </w:rPr>
              <w:t xml:space="preserve"> the general population</w:t>
            </w:r>
            <w:r w:rsidRPr="004D6BB6">
              <w:rPr>
                <w:i/>
                <w:iCs/>
                <w:color w:val="CC0099"/>
                <w:sz w:val="20"/>
                <w:szCs w:val="20"/>
                <w:vertAlign w:val="superscript"/>
              </w:rPr>
              <w:t xml:space="preserve">5 </w:t>
            </w:r>
          </w:p>
          <w:p w14:paraId="31006156" w14:textId="77777777" w:rsidR="00A139AC" w:rsidRDefault="00A139AC" w:rsidP="009404A0">
            <w:pPr>
              <w:pStyle w:val="ListParagraph"/>
              <w:numPr>
                <w:ilvl w:val="0"/>
                <w:numId w:val="46"/>
              </w:numPr>
              <w:spacing w:before="120" w:after="0"/>
              <w:ind w:left="504"/>
              <w:contextualSpacing w:val="0"/>
              <w:rPr>
                <w:i/>
                <w:iCs/>
                <w:color w:val="CC0099"/>
                <w:sz w:val="20"/>
                <w:szCs w:val="20"/>
              </w:rPr>
            </w:pPr>
            <w:r w:rsidRPr="00F15B81">
              <w:rPr>
                <w:i/>
                <w:iCs/>
                <w:color w:val="CC0099"/>
                <w:sz w:val="20"/>
                <w:szCs w:val="20"/>
              </w:rPr>
              <w:t>The risk of developing PML while on treatment is &lt;1% regardless of JCV antibody status. Active infection by JCV is required for the development of PML.</w:t>
            </w:r>
            <w:r w:rsidRPr="00F15B81">
              <w:rPr>
                <w:i/>
                <w:iCs/>
                <w:color w:val="CC0099"/>
                <w:sz w:val="20"/>
                <w:szCs w:val="20"/>
                <w:vertAlign w:val="superscript"/>
              </w:rPr>
              <w:t>1,4</w:t>
            </w:r>
            <w:r w:rsidRPr="00F15B81">
              <w:rPr>
                <w:i/>
                <w:iCs/>
                <w:color w:val="CC0099"/>
                <w:sz w:val="20"/>
                <w:szCs w:val="20"/>
              </w:rPr>
              <w:t xml:space="preserve"> </w:t>
            </w:r>
          </w:p>
          <w:p w14:paraId="76A2F25C" w14:textId="77777777" w:rsidR="00A139AC" w:rsidRPr="00F15B81" w:rsidRDefault="00A139AC" w:rsidP="009404A0">
            <w:pPr>
              <w:pStyle w:val="ListParagraph"/>
              <w:numPr>
                <w:ilvl w:val="1"/>
                <w:numId w:val="46"/>
              </w:numPr>
              <w:spacing w:after="0"/>
              <w:ind w:left="792"/>
              <w:contextualSpacing w:val="0"/>
              <w:rPr>
                <w:i/>
                <w:iCs/>
                <w:color w:val="CC0099"/>
                <w:sz w:val="20"/>
                <w:szCs w:val="20"/>
              </w:rPr>
            </w:pPr>
            <w:r w:rsidRPr="00F15B81">
              <w:rPr>
                <w:i/>
                <w:iCs/>
                <w:color w:val="CC0099"/>
                <w:sz w:val="20"/>
                <w:szCs w:val="20"/>
              </w:rPr>
              <w:t>PML risk in patients who are positive for anti-JCV antibodies can be further stratified by treatment duration and prior immunosuppressant use.</w:t>
            </w:r>
            <w:r w:rsidRPr="00F15B81">
              <w:rPr>
                <w:i/>
                <w:iCs/>
                <w:color w:val="CC0099"/>
                <w:sz w:val="20"/>
                <w:szCs w:val="20"/>
                <w:vertAlign w:val="superscript"/>
              </w:rPr>
              <w:t>1</w:t>
            </w:r>
            <w:r w:rsidRPr="00F15B81">
              <w:rPr>
                <w:i/>
                <w:iCs/>
                <w:color w:val="CC0099"/>
                <w:sz w:val="20"/>
                <w:szCs w:val="20"/>
              </w:rPr>
              <w:t xml:space="preserve"> </w:t>
            </w:r>
          </w:p>
          <w:p w14:paraId="6438B69F" w14:textId="77777777" w:rsidR="00A139AC" w:rsidRPr="00207EC5" w:rsidRDefault="00A139AC" w:rsidP="009404A0">
            <w:pPr>
              <w:pStyle w:val="ListParagraph"/>
              <w:numPr>
                <w:ilvl w:val="1"/>
                <w:numId w:val="46"/>
              </w:numPr>
              <w:spacing w:after="0"/>
              <w:ind w:left="792"/>
              <w:contextualSpacing w:val="0"/>
              <w:rPr>
                <w:i/>
                <w:iCs/>
                <w:color w:val="CC0099"/>
                <w:sz w:val="20"/>
                <w:szCs w:val="20"/>
              </w:rPr>
            </w:pPr>
            <w:r w:rsidRPr="00207EC5">
              <w:rPr>
                <w:i/>
                <w:iCs/>
                <w:color w:val="CC0099"/>
                <w:sz w:val="20"/>
                <w:szCs w:val="20"/>
              </w:rPr>
              <w:t>There is no restriction on duration of treatment specifically regarding PML risk with TYSABRI</w:t>
            </w:r>
            <w:r w:rsidRPr="00207EC5">
              <w:rPr>
                <w:i/>
                <w:iCs/>
                <w:color w:val="CC0099"/>
                <w:sz w:val="20"/>
                <w:szCs w:val="20"/>
                <w:vertAlign w:val="superscript"/>
              </w:rPr>
              <w:t>1</w:t>
            </w:r>
          </w:p>
        </w:tc>
      </w:tr>
      <w:tr w:rsidR="00A139AC" w14:paraId="4A42D6B3" w14:textId="77777777" w:rsidTr="009404A0">
        <w:tc>
          <w:tcPr>
            <w:tcW w:w="1530" w:type="dxa"/>
            <w:shd w:val="clear" w:color="auto" w:fill="auto"/>
            <w:vAlign w:val="center"/>
          </w:tcPr>
          <w:p w14:paraId="425A20FF" w14:textId="77777777" w:rsidR="00A139AC" w:rsidRPr="00530F45" w:rsidRDefault="00A139AC" w:rsidP="009404A0">
            <w:pPr>
              <w:pStyle w:val="ListParagraph"/>
              <w:spacing w:after="0"/>
              <w:ind w:left="0"/>
              <w:jc w:val="center"/>
              <w:rPr>
                <w:rFonts w:cstheme="minorHAnsi"/>
                <w:b/>
                <w:bCs/>
                <w:color w:val="CC0099"/>
              </w:rPr>
            </w:pPr>
            <w:r w:rsidRPr="00432F8F">
              <w:rPr>
                <w:rFonts w:cstheme="minorHAnsi"/>
                <w:b/>
                <w:bCs/>
                <w:color w:val="CC0099"/>
                <w:sz w:val="20"/>
                <w:szCs w:val="20"/>
              </w:rPr>
              <w:lastRenderedPageBreak/>
              <w:t>RISK MANAGEMENT</w:t>
            </w:r>
          </w:p>
        </w:tc>
        <w:tc>
          <w:tcPr>
            <w:tcW w:w="9810" w:type="dxa"/>
            <w:shd w:val="clear" w:color="auto" w:fill="auto"/>
          </w:tcPr>
          <w:p w14:paraId="16B0AFE1" w14:textId="77777777" w:rsidR="00A139AC" w:rsidRPr="00207EC5" w:rsidRDefault="00A139AC" w:rsidP="009404A0">
            <w:pPr>
              <w:pStyle w:val="ListParagraph"/>
              <w:numPr>
                <w:ilvl w:val="0"/>
                <w:numId w:val="44"/>
              </w:numPr>
              <w:spacing w:after="0"/>
              <w:ind w:left="504"/>
              <w:rPr>
                <w:rFonts w:cstheme="minorHAnsi"/>
                <w:i/>
                <w:iCs/>
                <w:color w:val="CC0099"/>
              </w:rPr>
            </w:pPr>
            <w:r w:rsidRPr="002060EB">
              <w:rPr>
                <w:rFonts w:cstheme="minorHAnsi"/>
                <w:i/>
                <w:iCs/>
                <w:color w:val="CC0099"/>
                <w:sz w:val="20"/>
                <w:szCs w:val="20"/>
              </w:rPr>
              <w:t>The STRATIFY JCV™ Antibody Test is the only FDA-approved test validated specifically for TYSABRI to aid in risk stratification for PML for use in conjunction with other clinical data</w:t>
            </w:r>
            <w:r>
              <w:rPr>
                <w:rFonts w:cstheme="minorHAnsi"/>
                <w:i/>
                <w:iCs/>
                <w:color w:val="CC0099"/>
                <w:sz w:val="20"/>
                <w:szCs w:val="20"/>
              </w:rPr>
              <w:t xml:space="preserve"> </w:t>
            </w:r>
            <w:r w:rsidRPr="00012909">
              <w:rPr>
                <w:rFonts w:cstheme="minorHAnsi"/>
                <w:i/>
                <w:iCs/>
                <w:color w:val="CC0099"/>
                <w:sz w:val="20"/>
                <w:szCs w:val="20"/>
              </w:rPr>
              <w:t>to support the safe use of TYSABRI</w:t>
            </w:r>
          </w:p>
          <w:p w14:paraId="13580B08" w14:textId="77777777" w:rsidR="00A139AC" w:rsidRPr="00207EC5" w:rsidRDefault="00A139AC" w:rsidP="009404A0">
            <w:pPr>
              <w:pStyle w:val="ListParagraph"/>
              <w:numPr>
                <w:ilvl w:val="1"/>
                <w:numId w:val="44"/>
              </w:numPr>
              <w:spacing w:after="0"/>
              <w:ind w:left="792"/>
              <w:rPr>
                <w:rFonts w:cstheme="minorHAnsi"/>
                <w:i/>
                <w:iCs/>
                <w:color w:val="CC0099"/>
              </w:rPr>
            </w:pPr>
            <w:r w:rsidRPr="00207EC5">
              <w:rPr>
                <w:rFonts w:cstheme="minorHAnsi"/>
                <w:i/>
                <w:iCs/>
                <w:color w:val="CC0099"/>
                <w:sz w:val="20"/>
                <w:szCs w:val="20"/>
              </w:rPr>
              <w:t>Since 2012, over 2 million STRATIFY JCV™ tests have been performed to support neurologists as a clinical decision-making tool for patients on or considering TYSABRI</w:t>
            </w:r>
          </w:p>
          <w:p w14:paraId="33ABDF8A" w14:textId="77777777" w:rsidR="00A139AC" w:rsidRDefault="00A139AC" w:rsidP="009404A0">
            <w:pPr>
              <w:pStyle w:val="ListParagraph"/>
              <w:numPr>
                <w:ilvl w:val="0"/>
                <w:numId w:val="43"/>
              </w:numPr>
              <w:spacing w:before="120" w:after="0"/>
              <w:ind w:left="504"/>
              <w:contextualSpacing w:val="0"/>
              <w:rPr>
                <w:rFonts w:cstheme="minorHAnsi"/>
                <w:i/>
                <w:iCs/>
                <w:color w:val="CC0099"/>
                <w:sz w:val="20"/>
                <w:szCs w:val="20"/>
              </w:rPr>
            </w:pPr>
            <w:r w:rsidRPr="00D71422">
              <w:rPr>
                <w:rFonts w:cstheme="minorHAnsi"/>
                <w:i/>
                <w:iCs/>
                <w:color w:val="CC0099"/>
                <w:sz w:val="20"/>
                <w:szCs w:val="20"/>
              </w:rPr>
              <w:t xml:space="preserve">The TOUCH Prescribing Program is the required REMS program </w:t>
            </w:r>
            <w:r>
              <w:rPr>
                <w:rFonts w:cstheme="minorHAnsi"/>
                <w:i/>
                <w:iCs/>
                <w:color w:val="CC0099"/>
                <w:sz w:val="20"/>
                <w:szCs w:val="20"/>
              </w:rPr>
              <w:t>that</w:t>
            </w:r>
            <w:r w:rsidRPr="00D71422">
              <w:rPr>
                <w:rFonts w:cstheme="minorHAnsi"/>
                <w:i/>
                <w:iCs/>
                <w:color w:val="CC0099"/>
                <w:sz w:val="20"/>
                <w:szCs w:val="20"/>
              </w:rPr>
              <w:t xml:space="preserve"> has been supporting HCPs and patients in the safe administration of TYSABRI since 2006.</w:t>
            </w:r>
          </w:p>
          <w:p w14:paraId="63AB7C5C" w14:textId="77777777" w:rsidR="00A139AC" w:rsidRDefault="00A139AC" w:rsidP="009404A0">
            <w:pPr>
              <w:pStyle w:val="ListParagraph"/>
              <w:numPr>
                <w:ilvl w:val="1"/>
                <w:numId w:val="43"/>
              </w:numPr>
              <w:spacing w:after="120"/>
              <w:ind w:left="792"/>
              <w:contextualSpacing w:val="0"/>
              <w:rPr>
                <w:rFonts w:cstheme="minorHAnsi"/>
                <w:i/>
                <w:iCs/>
                <w:color w:val="CC0099"/>
                <w:sz w:val="20"/>
                <w:szCs w:val="20"/>
              </w:rPr>
            </w:pPr>
            <w:r w:rsidRPr="00F15B81">
              <w:rPr>
                <w:rFonts w:cstheme="minorHAnsi"/>
                <w:i/>
                <w:iCs/>
                <w:color w:val="CC0099"/>
                <w:sz w:val="20"/>
                <w:szCs w:val="20"/>
              </w:rPr>
              <w:t>It helps facilitate appropriate use by allowing enrolled patients to obtain TYSABRI through certified prescribers, pharmacies, and infusion centers. The program informs about the risk of PML associated with TYSABRI and promotes early diagnosis of PML and timely discontinuation of TYSABRI in the event of suspected PML.</w:t>
            </w:r>
          </w:p>
          <w:p w14:paraId="44CEBD59" w14:textId="550CD0DB" w:rsidR="00A139AC" w:rsidRPr="00F15B81" w:rsidRDefault="00A139AC" w:rsidP="009404A0">
            <w:pPr>
              <w:pStyle w:val="ListParagraph"/>
              <w:numPr>
                <w:ilvl w:val="0"/>
                <w:numId w:val="43"/>
              </w:numPr>
              <w:spacing w:before="120" w:after="0"/>
              <w:ind w:left="504"/>
              <w:contextualSpacing w:val="0"/>
              <w:rPr>
                <w:rFonts w:cstheme="minorHAnsi"/>
                <w:i/>
                <w:iCs/>
                <w:color w:val="CC0099"/>
                <w:sz w:val="20"/>
                <w:szCs w:val="20"/>
              </w:rPr>
            </w:pPr>
            <w:r w:rsidRPr="007B76B3">
              <w:rPr>
                <w:rFonts w:cstheme="minorHAnsi"/>
                <w:i/>
                <w:iCs/>
                <w:color w:val="CC0099"/>
                <w:sz w:val="20"/>
                <w:szCs w:val="20"/>
              </w:rPr>
              <w:t>The TOUCH Prescribing Program enabled Biogen to create the PML risk stratification table specific to TYSABRI that is based on data from 100,000 TYSABRI</w:t>
            </w:r>
            <w:r w:rsidR="003359AE">
              <w:rPr>
                <w:rFonts w:cstheme="minorHAnsi"/>
                <w:i/>
                <w:iCs/>
                <w:color w:val="CC0099"/>
                <w:sz w:val="20"/>
                <w:szCs w:val="20"/>
              </w:rPr>
              <w:t>-</w:t>
            </w:r>
            <w:r w:rsidRPr="007B76B3">
              <w:rPr>
                <w:rFonts w:cstheme="minorHAnsi"/>
                <w:i/>
                <w:iCs/>
                <w:color w:val="CC0099"/>
                <w:sz w:val="20"/>
                <w:szCs w:val="20"/>
              </w:rPr>
              <w:t>exposed patients. The risk stratification table facilitates PML vs. benefit comparisons of TYSABRI and inform treatment decisions.</w:t>
            </w:r>
            <w:r w:rsidRPr="00F15B81">
              <w:rPr>
                <w:rFonts w:cstheme="minorHAnsi"/>
                <w:i/>
                <w:iCs/>
                <w:color w:val="CC0099"/>
                <w:sz w:val="20"/>
                <w:szCs w:val="20"/>
                <w:vertAlign w:val="superscript"/>
              </w:rPr>
              <w:t>1</w:t>
            </w:r>
          </w:p>
        </w:tc>
      </w:tr>
    </w:tbl>
    <w:p w14:paraId="0F40FCAC" w14:textId="77777777" w:rsidR="00871C35" w:rsidRDefault="00871C35" w:rsidP="00EE7616">
      <w:pPr>
        <w:spacing w:after="0" w:line="240" w:lineRule="auto"/>
        <w:contextualSpacing/>
        <w:rPr>
          <w:rFonts w:cstheme="minorHAnsi"/>
        </w:rPr>
      </w:pPr>
    </w:p>
    <w:p w14:paraId="5AFB6AFD" w14:textId="556EE051" w:rsidR="00FA3EE7" w:rsidRPr="00471B09" w:rsidRDefault="00FA3EE7" w:rsidP="00FA3EE7">
      <w:pPr>
        <w:spacing w:after="0" w:line="240" w:lineRule="auto"/>
        <w:rPr>
          <w:rFonts w:cstheme="minorHAnsi"/>
          <w:color w:val="002060"/>
        </w:rPr>
      </w:pPr>
      <w:r w:rsidRPr="00471B09">
        <w:rPr>
          <w:rFonts w:cstheme="minorHAnsi"/>
          <w:b/>
          <w:bCs/>
          <w:color w:val="002060"/>
        </w:rPr>
        <w:t>SITE OF CARE ALTERNATIVE TO HOME INFUSION</w:t>
      </w:r>
    </w:p>
    <w:p w14:paraId="534CA0F9" w14:textId="0A693584" w:rsidR="00FA3EE7" w:rsidRPr="00871C35" w:rsidRDefault="00FA3EE7" w:rsidP="002849B0">
      <w:pPr>
        <w:spacing w:before="120" w:line="240" w:lineRule="auto"/>
        <w:rPr>
          <w:rFonts w:cstheme="minorHAnsi"/>
          <w:sz w:val="21"/>
          <w:szCs w:val="21"/>
        </w:rPr>
      </w:pPr>
      <w:r w:rsidRPr="00871C35">
        <w:rPr>
          <w:rFonts w:cstheme="minorHAnsi"/>
          <w:sz w:val="21"/>
          <w:szCs w:val="21"/>
        </w:rPr>
        <w:t xml:space="preserve">Consistency in the site of TYSABRI administration can help patients adhere to treatment and ultimately achieve their care goals. I am requesting for my patient to start on TYSABRI at </w:t>
      </w:r>
      <w:r w:rsidRPr="00871C35">
        <w:rPr>
          <w:rFonts w:cstheme="minorHAnsi"/>
          <w:color w:val="CC0099"/>
          <w:sz w:val="21"/>
          <w:szCs w:val="21"/>
        </w:rPr>
        <w:t>[Name of Site-of-Care]</w:t>
      </w:r>
      <w:r w:rsidRPr="00871C35">
        <w:rPr>
          <w:rFonts w:cstheme="minorHAnsi"/>
          <w:sz w:val="21"/>
          <w:szCs w:val="21"/>
        </w:rPr>
        <w:t xml:space="preserve"> rather than home infusion because:</w:t>
      </w:r>
    </w:p>
    <w:p w14:paraId="3DC861E6" w14:textId="77777777" w:rsidR="00FA3EE7" w:rsidRPr="00871C35" w:rsidRDefault="00FA3EE7" w:rsidP="00FA3EE7">
      <w:pPr>
        <w:pStyle w:val="ListParagraph"/>
        <w:numPr>
          <w:ilvl w:val="0"/>
          <w:numId w:val="36"/>
        </w:numPr>
        <w:spacing w:after="0" w:line="240" w:lineRule="auto"/>
        <w:rPr>
          <w:rFonts w:cstheme="minorHAnsi"/>
          <w:color w:val="CC0099"/>
          <w:sz w:val="21"/>
          <w:szCs w:val="21"/>
        </w:rPr>
      </w:pPr>
      <w:bookmarkStart w:id="0" w:name="_Hlk134604132"/>
      <w:r w:rsidRPr="00871C35">
        <w:rPr>
          <w:rFonts w:cstheme="minorHAnsi"/>
          <w:color w:val="CC0099"/>
          <w:sz w:val="21"/>
          <w:szCs w:val="21"/>
        </w:rPr>
        <w:t>[HCP to insert reasons for recommendation to use an alternative Site-of-Care to home infusion, such as</w:t>
      </w:r>
    </w:p>
    <w:bookmarkEnd w:id="0"/>
    <w:p w14:paraId="4B608E8B" w14:textId="77777777"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 xml:space="preserve">Patient has experienced trouble following verbal or written instructions </w:t>
      </w:r>
    </w:p>
    <w:p w14:paraId="52494A1B" w14:textId="77777777"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 xml:space="preserve">Patient has an EDSS score of [&gt;6], indicating deficiencies in their fine motor skills </w:t>
      </w:r>
    </w:p>
    <w:p w14:paraId="60ACBEF4" w14:textId="77777777"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Patient requires/requests follow-up, monitoring, and high touch evaluation provided by an infusion site with access to emergency medications, equipment, and personnel</w:t>
      </w:r>
    </w:p>
    <w:p w14:paraId="7F82E0EA" w14:textId="534A5243" w:rsidR="00FA3EE7" w:rsidRPr="00871C35" w:rsidRDefault="00FA3EE7" w:rsidP="00FA3EE7">
      <w:pPr>
        <w:pStyle w:val="ListParagraph"/>
        <w:numPr>
          <w:ilvl w:val="1"/>
          <w:numId w:val="35"/>
        </w:numPr>
        <w:rPr>
          <w:rFonts w:cstheme="minorHAnsi"/>
          <w:color w:val="CC0099"/>
          <w:sz w:val="21"/>
          <w:szCs w:val="21"/>
        </w:rPr>
      </w:pPr>
      <w:r w:rsidRPr="00871C35">
        <w:rPr>
          <w:rFonts w:cstheme="minorHAnsi"/>
          <w:color w:val="CC0099"/>
          <w:sz w:val="21"/>
          <w:szCs w:val="21"/>
        </w:rPr>
        <w:t>Patient cannot accommodate the space and consistency needed for home infusion]</w:t>
      </w:r>
    </w:p>
    <w:p w14:paraId="1A8CEE29" w14:textId="5AE5CB7C" w:rsidR="00FA3EE7" w:rsidRPr="00871C35" w:rsidRDefault="00FA3EE7" w:rsidP="00C65117">
      <w:pPr>
        <w:spacing w:after="0" w:line="240" w:lineRule="auto"/>
        <w:contextualSpacing/>
        <w:rPr>
          <w:rFonts w:cstheme="minorHAnsi"/>
          <w:b/>
          <w:bCs/>
          <w:color w:val="002060"/>
          <w:sz w:val="21"/>
          <w:szCs w:val="21"/>
        </w:rPr>
      </w:pPr>
      <w:r>
        <w:rPr>
          <w:rFonts w:cstheme="minorHAnsi"/>
          <w:b/>
          <w:bCs/>
          <w:color w:val="002060"/>
        </w:rPr>
        <w:t>ENCLOSURES</w:t>
      </w:r>
      <w:r w:rsidR="00CF5E59">
        <w:rPr>
          <w:rFonts w:cstheme="minorHAnsi"/>
          <w:b/>
          <w:bCs/>
          <w:color w:val="002060"/>
        </w:rPr>
        <w:t>/ATTACHMENTS</w:t>
      </w:r>
      <w:r w:rsidR="00C5117B">
        <w:rPr>
          <w:rFonts w:cstheme="minorHAnsi"/>
          <w:b/>
          <w:bCs/>
          <w:color w:val="002060"/>
        </w:rPr>
        <w:t xml:space="preserve">: </w:t>
      </w:r>
      <w:r w:rsidRPr="000911ED">
        <w:rPr>
          <w:rFonts w:cstheme="minorHAnsi"/>
          <w:color w:val="CC0099"/>
        </w:rPr>
        <w:t>[</w:t>
      </w:r>
      <w:r w:rsidR="00321AE3" w:rsidRPr="00871C35">
        <w:rPr>
          <w:rFonts w:cstheme="minorHAnsi"/>
          <w:color w:val="CC0099"/>
          <w:sz w:val="21"/>
          <w:szCs w:val="21"/>
        </w:rPr>
        <w:t xml:space="preserve">TYSABRI Prescribing Information, </w:t>
      </w:r>
      <w:r w:rsidRPr="00871C35">
        <w:rPr>
          <w:rFonts w:cstheme="minorHAnsi"/>
          <w:color w:val="CC0099"/>
          <w:sz w:val="21"/>
          <w:szCs w:val="21"/>
        </w:rPr>
        <w:t>Medication history and/or chart notes describing previous therapies and specific outcomes</w:t>
      </w:r>
      <w:r w:rsidR="000911ED" w:rsidRPr="00871C35">
        <w:rPr>
          <w:rFonts w:cstheme="minorHAnsi"/>
          <w:color w:val="CC0099"/>
          <w:sz w:val="21"/>
          <w:szCs w:val="21"/>
        </w:rPr>
        <w:t>;</w:t>
      </w:r>
      <w:r w:rsidR="000911ED" w:rsidRPr="00871C35">
        <w:rPr>
          <w:rFonts w:cstheme="minorHAnsi"/>
          <w:b/>
          <w:bCs/>
          <w:color w:val="002060"/>
          <w:sz w:val="21"/>
          <w:szCs w:val="21"/>
        </w:rPr>
        <w:t xml:space="preserve"> </w:t>
      </w:r>
      <w:r w:rsidRPr="00871C35">
        <w:rPr>
          <w:rFonts w:cstheme="minorHAnsi"/>
          <w:color w:val="CC0099"/>
          <w:sz w:val="21"/>
          <w:szCs w:val="21"/>
        </w:rPr>
        <w:t>MRI data</w:t>
      </w:r>
      <w:r w:rsidR="000911ED" w:rsidRPr="00871C35">
        <w:rPr>
          <w:rFonts w:cstheme="minorHAnsi"/>
          <w:color w:val="CC0099"/>
          <w:sz w:val="21"/>
          <w:szCs w:val="21"/>
        </w:rPr>
        <w:t xml:space="preserve">; </w:t>
      </w:r>
      <w:r w:rsidRPr="00871C35">
        <w:rPr>
          <w:rFonts w:cstheme="minorHAnsi"/>
          <w:color w:val="CC0099"/>
          <w:sz w:val="21"/>
          <w:szCs w:val="21"/>
        </w:rPr>
        <w:t>Patient’s history of relapses (i.e., relevant clinical chart notes)</w:t>
      </w:r>
      <w:r w:rsidR="000911ED" w:rsidRPr="00871C35">
        <w:rPr>
          <w:rFonts w:cstheme="minorHAnsi"/>
          <w:b/>
          <w:bCs/>
          <w:color w:val="002060"/>
          <w:sz w:val="21"/>
          <w:szCs w:val="21"/>
        </w:rPr>
        <w:t xml:space="preserve">; </w:t>
      </w:r>
      <w:r w:rsidRPr="00871C35">
        <w:rPr>
          <w:rFonts w:cstheme="minorHAnsi"/>
          <w:color w:val="CC0099"/>
          <w:sz w:val="21"/>
          <w:szCs w:val="21"/>
        </w:rPr>
        <w:t>EDSS history</w:t>
      </w:r>
      <w:r w:rsidR="000911ED" w:rsidRPr="00871C35">
        <w:rPr>
          <w:rFonts w:cstheme="minorHAnsi"/>
          <w:b/>
          <w:bCs/>
          <w:color w:val="002060"/>
          <w:sz w:val="21"/>
          <w:szCs w:val="21"/>
        </w:rPr>
        <w:t xml:space="preserve">; </w:t>
      </w:r>
      <w:r w:rsidRPr="00871C35">
        <w:rPr>
          <w:rFonts w:cstheme="minorHAnsi"/>
          <w:color w:val="CC0099"/>
          <w:sz w:val="21"/>
          <w:szCs w:val="21"/>
        </w:rPr>
        <w:t xml:space="preserve">Supporting literature (i.e., clinical guidelines, recent clinical trials, compendia, peer reviewed publications, </w:t>
      </w:r>
      <w:r w:rsidR="00AA21A2" w:rsidRPr="00871C35">
        <w:rPr>
          <w:rFonts w:cstheme="minorHAnsi"/>
          <w:color w:val="CC0099"/>
          <w:sz w:val="21"/>
          <w:szCs w:val="21"/>
        </w:rPr>
        <w:t>etc.</w:t>
      </w:r>
      <w:r w:rsidRPr="00871C35">
        <w:rPr>
          <w:rFonts w:cstheme="minorHAnsi"/>
          <w:color w:val="CC0099"/>
          <w:sz w:val="21"/>
          <w:szCs w:val="21"/>
        </w:rPr>
        <w:t>)]</w:t>
      </w:r>
    </w:p>
    <w:p w14:paraId="476D7B76" w14:textId="77777777" w:rsidR="005F6D65" w:rsidRPr="00871C35" w:rsidRDefault="005F6D65" w:rsidP="005F6D65">
      <w:pPr>
        <w:spacing w:after="0" w:line="240" w:lineRule="auto"/>
        <w:rPr>
          <w:rFonts w:cstheme="minorHAnsi"/>
          <w:sz w:val="21"/>
          <w:szCs w:val="21"/>
        </w:rPr>
      </w:pPr>
    </w:p>
    <w:p w14:paraId="36692474" w14:textId="61A807C7" w:rsidR="00FA3EE7" w:rsidRPr="00871C35" w:rsidRDefault="00FA3EE7" w:rsidP="00FA3EE7">
      <w:pPr>
        <w:spacing w:after="0" w:line="240" w:lineRule="auto"/>
        <w:rPr>
          <w:rFonts w:cstheme="minorHAnsi"/>
          <w:sz w:val="21"/>
          <w:szCs w:val="21"/>
        </w:rPr>
      </w:pPr>
      <w:r w:rsidRPr="00871C35">
        <w:rPr>
          <w:rFonts w:cstheme="minorHAnsi"/>
          <w:sz w:val="21"/>
          <w:szCs w:val="21"/>
        </w:rPr>
        <w:t>In summary, based on the patient’s current condition and the clinical data available to date,</w:t>
      </w:r>
      <w:r w:rsidR="00BE4161">
        <w:rPr>
          <w:rFonts w:cstheme="minorHAnsi"/>
          <w:sz w:val="21"/>
          <w:szCs w:val="21"/>
        </w:rPr>
        <w:t xml:space="preserve"> </w:t>
      </w:r>
      <w:r w:rsidRPr="00871C35">
        <w:rPr>
          <w:rFonts w:cstheme="minorHAnsi"/>
          <w:sz w:val="21"/>
          <w:szCs w:val="21"/>
        </w:rPr>
        <w:t xml:space="preserve">treatment with TYSABRI for </w:t>
      </w:r>
      <w:r w:rsidRPr="00871C35">
        <w:rPr>
          <w:rFonts w:cstheme="minorHAnsi"/>
          <w:color w:val="CC0099"/>
          <w:sz w:val="21"/>
          <w:szCs w:val="21"/>
        </w:rPr>
        <w:t>[Patient Name]</w:t>
      </w:r>
      <w:r w:rsidRPr="00871C35">
        <w:rPr>
          <w:rFonts w:cstheme="minorHAnsi"/>
          <w:sz w:val="21"/>
          <w:szCs w:val="21"/>
        </w:rPr>
        <w:t xml:space="preserve"> is medically appropriate and necessary.</w:t>
      </w:r>
    </w:p>
    <w:p w14:paraId="7AA843FD" w14:textId="77777777" w:rsidR="00FA3EE7" w:rsidRPr="00871C35" w:rsidRDefault="00FA3EE7" w:rsidP="00FA3EE7">
      <w:pPr>
        <w:spacing w:after="0" w:line="240" w:lineRule="auto"/>
        <w:rPr>
          <w:rFonts w:cstheme="minorHAnsi"/>
          <w:sz w:val="21"/>
          <w:szCs w:val="21"/>
        </w:rPr>
      </w:pPr>
    </w:p>
    <w:p w14:paraId="2445368D" w14:textId="72CFA036" w:rsidR="00FA3EE7" w:rsidRPr="00871C35" w:rsidRDefault="00FA3EE7" w:rsidP="00FA3EE7">
      <w:pPr>
        <w:spacing w:after="0" w:line="240" w:lineRule="auto"/>
        <w:rPr>
          <w:rFonts w:cstheme="minorHAnsi"/>
          <w:sz w:val="21"/>
          <w:szCs w:val="21"/>
        </w:rPr>
      </w:pPr>
      <w:r w:rsidRPr="00871C35">
        <w:rPr>
          <w:rFonts w:cstheme="minorHAnsi"/>
          <w:sz w:val="21"/>
          <w:szCs w:val="21"/>
        </w:rPr>
        <w:t xml:space="preserve">Please </w:t>
      </w:r>
      <w:r w:rsidR="003D62CB" w:rsidRPr="00871C35">
        <w:rPr>
          <w:rFonts w:cstheme="minorHAnsi"/>
          <w:sz w:val="21"/>
          <w:szCs w:val="21"/>
        </w:rPr>
        <w:t xml:space="preserve">call my office at </w:t>
      </w:r>
      <w:r w:rsidR="003D62CB" w:rsidRPr="00A83D43">
        <w:rPr>
          <w:rFonts w:cstheme="minorHAnsi"/>
          <w:color w:val="CC0099"/>
          <w:sz w:val="21"/>
          <w:szCs w:val="21"/>
        </w:rPr>
        <w:t>[</w:t>
      </w:r>
      <w:r w:rsidR="009E513F" w:rsidRPr="00A83D43">
        <w:rPr>
          <w:rFonts w:cstheme="minorHAnsi"/>
          <w:color w:val="CC0099"/>
          <w:sz w:val="21"/>
          <w:szCs w:val="21"/>
        </w:rPr>
        <w:t xml:space="preserve">telephone number] </w:t>
      </w:r>
      <w:r w:rsidR="009E513F" w:rsidRPr="00871C35">
        <w:rPr>
          <w:rFonts w:cstheme="minorHAnsi"/>
          <w:sz w:val="21"/>
          <w:szCs w:val="21"/>
        </w:rPr>
        <w:t xml:space="preserve">for any additional </w:t>
      </w:r>
      <w:r w:rsidRPr="00871C35">
        <w:rPr>
          <w:rFonts w:cstheme="minorHAnsi"/>
          <w:sz w:val="21"/>
          <w:szCs w:val="21"/>
        </w:rPr>
        <w:t xml:space="preserve">information. I look forward to your response. </w:t>
      </w:r>
    </w:p>
    <w:p w14:paraId="0E4A7998" w14:textId="77777777" w:rsidR="00FA3EE7" w:rsidRPr="00871C35" w:rsidRDefault="00FA3EE7" w:rsidP="00FA3EE7">
      <w:pPr>
        <w:spacing w:after="60" w:line="240" w:lineRule="auto"/>
        <w:rPr>
          <w:rFonts w:cstheme="minorHAnsi"/>
          <w:sz w:val="21"/>
          <w:szCs w:val="21"/>
        </w:rPr>
      </w:pPr>
    </w:p>
    <w:p w14:paraId="5A2782CD" w14:textId="77777777" w:rsidR="00FA3EE7" w:rsidRPr="00871C35" w:rsidRDefault="00FA3EE7" w:rsidP="00FA3EE7">
      <w:pPr>
        <w:spacing w:after="0" w:line="240" w:lineRule="auto"/>
        <w:rPr>
          <w:rFonts w:cstheme="minorHAnsi"/>
          <w:sz w:val="21"/>
          <w:szCs w:val="21"/>
        </w:rPr>
      </w:pPr>
      <w:r w:rsidRPr="00871C35">
        <w:rPr>
          <w:rFonts w:cstheme="minorHAnsi"/>
          <w:sz w:val="21"/>
          <w:szCs w:val="21"/>
        </w:rPr>
        <w:t>Sincerely,</w:t>
      </w:r>
    </w:p>
    <w:p w14:paraId="4AFBF35C" w14:textId="77777777" w:rsidR="004C067D" w:rsidRDefault="00FA3EE7" w:rsidP="00E60E3A">
      <w:pPr>
        <w:spacing w:after="0" w:line="240" w:lineRule="auto"/>
        <w:rPr>
          <w:rFonts w:cstheme="minorHAnsi"/>
          <w:color w:val="CC0099"/>
          <w:sz w:val="21"/>
          <w:szCs w:val="21"/>
        </w:rPr>
      </w:pPr>
      <w:r w:rsidRPr="00871C35">
        <w:rPr>
          <w:rFonts w:cstheme="minorHAnsi"/>
          <w:color w:val="CC0099"/>
          <w:sz w:val="21"/>
          <w:szCs w:val="21"/>
        </w:rPr>
        <w:t xml:space="preserve">[Prescriber </w:t>
      </w:r>
      <w:r w:rsidR="004B4CB3" w:rsidRPr="00871C35">
        <w:rPr>
          <w:rFonts w:cstheme="minorHAnsi"/>
          <w:color w:val="CC0099"/>
          <w:sz w:val="21"/>
          <w:szCs w:val="21"/>
        </w:rPr>
        <w:t>Signature]</w:t>
      </w:r>
    </w:p>
    <w:p w14:paraId="4E7208DE" w14:textId="77777777" w:rsidR="00FF4DDE" w:rsidRDefault="00FF4DDE" w:rsidP="00E60E3A">
      <w:pPr>
        <w:spacing w:after="0" w:line="240" w:lineRule="auto"/>
        <w:rPr>
          <w:rFonts w:cstheme="minorHAnsi"/>
          <w:color w:val="CC0099"/>
          <w:sz w:val="21"/>
          <w:szCs w:val="21"/>
        </w:rPr>
      </w:pPr>
    </w:p>
    <w:p w14:paraId="26938AC0" w14:textId="263CD46D" w:rsidR="003B47D5" w:rsidRDefault="00E60E3A" w:rsidP="00E60E3A">
      <w:pPr>
        <w:spacing w:after="0" w:line="240" w:lineRule="auto"/>
      </w:pPr>
      <w:r w:rsidRPr="004C067D">
        <w:rPr>
          <w:rFonts w:eastAsia="Times New Roman" w:cstheme="minorHAnsi"/>
          <w:b/>
          <w:bCs/>
          <w:color w:val="000000" w:themeColor="text1"/>
          <w:sz w:val="14"/>
          <w:szCs w:val="14"/>
          <w:shd w:val="clear" w:color="auto" w:fill="FFFFFF"/>
        </w:rPr>
        <w:t>References:</w:t>
      </w:r>
      <w:r w:rsidRPr="004C067D">
        <w:rPr>
          <w:rFonts w:eastAsia="Times New Roman" w:cstheme="minorHAnsi"/>
          <w:color w:val="000000" w:themeColor="text1"/>
          <w:sz w:val="14"/>
          <w:szCs w:val="14"/>
          <w:shd w:val="clear" w:color="auto" w:fill="FFFFFF"/>
        </w:rPr>
        <w:t xml:space="preserve"> </w:t>
      </w:r>
      <w:r w:rsidRPr="004C067D">
        <w:rPr>
          <w:rFonts w:eastAsia="Times New Roman" w:cstheme="minorHAnsi"/>
          <w:b/>
          <w:bCs/>
          <w:color w:val="000000" w:themeColor="text1"/>
          <w:sz w:val="14"/>
          <w:szCs w:val="14"/>
          <w:shd w:val="clear" w:color="auto" w:fill="FFFFFF"/>
        </w:rPr>
        <w:t xml:space="preserve">1. </w:t>
      </w:r>
      <w:r w:rsidRPr="003C2598">
        <w:rPr>
          <w:rFonts w:eastAsia="Times New Roman" w:cstheme="minorHAnsi"/>
          <w:color w:val="000000" w:themeColor="text1"/>
          <w:sz w:val="14"/>
          <w:szCs w:val="14"/>
          <w:shd w:val="clear" w:color="auto" w:fill="FFFFFF"/>
          <w:lang w:val="fr-FR"/>
        </w:rPr>
        <w:t xml:space="preserve">TYSABRI </w:t>
      </w:r>
      <w:proofErr w:type="spellStart"/>
      <w:r w:rsidRPr="003C2598">
        <w:rPr>
          <w:rFonts w:eastAsia="Times New Roman" w:cstheme="minorHAnsi"/>
          <w:color w:val="000000" w:themeColor="text1"/>
          <w:sz w:val="14"/>
          <w:szCs w:val="14"/>
          <w:shd w:val="clear" w:color="auto" w:fill="FFFFFF"/>
          <w:lang w:val="fr-FR"/>
        </w:rPr>
        <w:t>Prescribing</w:t>
      </w:r>
      <w:proofErr w:type="spellEnd"/>
      <w:r w:rsidRPr="003C2598">
        <w:rPr>
          <w:rFonts w:eastAsia="Times New Roman" w:cstheme="minorHAnsi"/>
          <w:color w:val="000000" w:themeColor="text1"/>
          <w:sz w:val="14"/>
          <w:szCs w:val="14"/>
          <w:shd w:val="clear" w:color="auto" w:fill="FFFFFF"/>
          <w:lang w:val="fr-FR"/>
        </w:rPr>
        <w:t xml:space="preserve"> Information. </w:t>
      </w:r>
      <w:r w:rsidRPr="004C067D">
        <w:rPr>
          <w:rFonts w:eastAsia="Times New Roman" w:cstheme="minorHAnsi"/>
          <w:color w:val="000000" w:themeColor="text1"/>
          <w:sz w:val="14"/>
          <w:szCs w:val="14"/>
          <w:shd w:val="clear" w:color="auto" w:fill="FFFFFF"/>
          <w:lang w:val="fr-FR"/>
        </w:rPr>
        <w:t>Cambridge, MA: Biogen.</w:t>
      </w:r>
      <w:r w:rsidRPr="004C067D">
        <w:rPr>
          <w:rFonts w:eastAsia="Times New Roman" w:cstheme="minorHAnsi"/>
          <w:b/>
          <w:bCs/>
          <w:color w:val="000000" w:themeColor="text1"/>
          <w:sz w:val="14"/>
          <w:szCs w:val="14"/>
          <w:shd w:val="clear" w:color="auto" w:fill="FFFFFF"/>
          <w:lang w:val="fr-FR"/>
        </w:rPr>
        <w:t xml:space="preserve"> </w:t>
      </w:r>
      <w:r w:rsidR="00C41F11" w:rsidRPr="004C067D">
        <w:rPr>
          <w:rFonts w:eastAsia="Times New Roman" w:cstheme="minorHAnsi"/>
          <w:b/>
          <w:bCs/>
          <w:color w:val="000000" w:themeColor="text1"/>
          <w:sz w:val="14"/>
          <w:szCs w:val="14"/>
          <w:shd w:val="clear" w:color="auto" w:fill="FFFFFF"/>
          <w:lang w:val="fr-FR"/>
        </w:rPr>
        <w:t xml:space="preserve">2. </w:t>
      </w:r>
      <w:proofErr w:type="spellStart"/>
      <w:r w:rsidR="00C41F11" w:rsidRPr="004C067D">
        <w:rPr>
          <w:rFonts w:eastAsia="Times New Roman" w:cstheme="minorHAnsi"/>
          <w:color w:val="000000" w:themeColor="text1"/>
          <w:sz w:val="14"/>
          <w:szCs w:val="14"/>
          <w:shd w:val="clear" w:color="auto" w:fill="FFFFFF"/>
          <w:lang w:val="fr-FR"/>
        </w:rPr>
        <w:t>Polman</w:t>
      </w:r>
      <w:proofErr w:type="spellEnd"/>
      <w:r w:rsidR="00C41F11" w:rsidRPr="004C067D">
        <w:rPr>
          <w:rFonts w:eastAsia="Times New Roman" w:cstheme="minorHAnsi"/>
          <w:color w:val="000000" w:themeColor="text1"/>
          <w:sz w:val="14"/>
          <w:szCs w:val="14"/>
          <w:shd w:val="clear" w:color="auto" w:fill="FFFFFF"/>
          <w:lang w:val="fr-FR"/>
        </w:rPr>
        <w:t xml:space="preserve"> CH, et al. </w:t>
      </w:r>
      <w:r w:rsidR="00C41F11" w:rsidRPr="004C067D">
        <w:rPr>
          <w:rFonts w:eastAsia="Times New Roman" w:cstheme="minorHAnsi"/>
          <w:i/>
          <w:iCs/>
          <w:color w:val="000000" w:themeColor="text1"/>
          <w:sz w:val="14"/>
          <w:szCs w:val="14"/>
          <w:shd w:val="clear" w:color="auto" w:fill="FFFFFF"/>
          <w:lang w:val="fr-FR"/>
        </w:rPr>
        <w:t xml:space="preserve">N </w:t>
      </w:r>
      <w:proofErr w:type="spellStart"/>
      <w:r w:rsidR="00C41F11" w:rsidRPr="004C067D">
        <w:rPr>
          <w:rFonts w:eastAsia="Times New Roman" w:cstheme="minorHAnsi"/>
          <w:i/>
          <w:iCs/>
          <w:color w:val="000000" w:themeColor="text1"/>
          <w:sz w:val="14"/>
          <w:szCs w:val="14"/>
          <w:shd w:val="clear" w:color="auto" w:fill="FFFFFF"/>
          <w:lang w:val="fr-FR"/>
        </w:rPr>
        <w:t>Engl</w:t>
      </w:r>
      <w:proofErr w:type="spellEnd"/>
      <w:r w:rsidR="00C41F11" w:rsidRPr="004C067D">
        <w:rPr>
          <w:rFonts w:eastAsia="Times New Roman" w:cstheme="minorHAnsi"/>
          <w:i/>
          <w:iCs/>
          <w:color w:val="000000" w:themeColor="text1"/>
          <w:sz w:val="14"/>
          <w:szCs w:val="14"/>
          <w:shd w:val="clear" w:color="auto" w:fill="FFFFFF"/>
          <w:lang w:val="fr-FR"/>
        </w:rPr>
        <w:t xml:space="preserve"> J Med.</w:t>
      </w:r>
      <w:r w:rsidR="00C41F11" w:rsidRPr="004C067D">
        <w:rPr>
          <w:rFonts w:eastAsia="Times New Roman" w:cstheme="minorHAnsi"/>
          <w:color w:val="000000" w:themeColor="text1"/>
          <w:sz w:val="14"/>
          <w:szCs w:val="14"/>
          <w:shd w:val="clear" w:color="auto" w:fill="FFFFFF"/>
          <w:lang w:val="fr-FR"/>
        </w:rPr>
        <w:t xml:space="preserve"> 2006;354(9):899-910.</w:t>
      </w:r>
      <w:r w:rsidR="00C41F11" w:rsidRPr="004C067D">
        <w:rPr>
          <w:rFonts w:eastAsia="Times New Roman" w:cstheme="minorHAnsi"/>
          <w:b/>
          <w:bCs/>
          <w:color w:val="000000" w:themeColor="text1"/>
          <w:sz w:val="14"/>
          <w:szCs w:val="14"/>
          <w:shd w:val="clear" w:color="auto" w:fill="FFFFFF"/>
          <w:lang w:val="fr-FR"/>
        </w:rPr>
        <w:t xml:space="preserve"> 3. </w:t>
      </w:r>
      <w:proofErr w:type="spellStart"/>
      <w:r w:rsidR="00C41F11" w:rsidRPr="004C067D">
        <w:rPr>
          <w:rFonts w:eastAsia="Times New Roman" w:cstheme="minorHAnsi"/>
          <w:color w:val="000000" w:themeColor="text1"/>
          <w:sz w:val="14"/>
          <w:szCs w:val="14"/>
          <w:shd w:val="clear" w:color="auto" w:fill="FFFFFF"/>
          <w:lang w:val="fr-FR"/>
        </w:rPr>
        <w:t>Kappos</w:t>
      </w:r>
      <w:proofErr w:type="spellEnd"/>
      <w:r w:rsidR="00C41F11" w:rsidRPr="004C067D">
        <w:rPr>
          <w:rFonts w:eastAsia="Times New Roman" w:cstheme="minorHAnsi"/>
          <w:color w:val="000000" w:themeColor="text1"/>
          <w:sz w:val="14"/>
          <w:szCs w:val="14"/>
          <w:shd w:val="clear" w:color="auto" w:fill="FFFFFF"/>
          <w:lang w:val="fr-FR"/>
        </w:rPr>
        <w:t xml:space="preserve"> L, et al. </w:t>
      </w:r>
      <w:r w:rsidR="00C41F11" w:rsidRPr="003359AE">
        <w:rPr>
          <w:rFonts w:eastAsia="Times New Roman" w:cstheme="minorHAnsi"/>
          <w:i/>
          <w:iCs/>
          <w:color w:val="000000" w:themeColor="text1"/>
          <w:sz w:val="14"/>
          <w:szCs w:val="14"/>
          <w:shd w:val="clear" w:color="auto" w:fill="FFFFFF"/>
          <w:lang w:val="fr-FR"/>
        </w:rPr>
        <w:t xml:space="preserve">J </w:t>
      </w:r>
      <w:proofErr w:type="spellStart"/>
      <w:r w:rsidR="00C41F11" w:rsidRPr="003359AE">
        <w:rPr>
          <w:rFonts w:eastAsia="Times New Roman" w:cstheme="minorHAnsi"/>
          <w:i/>
          <w:iCs/>
          <w:color w:val="000000" w:themeColor="text1"/>
          <w:sz w:val="14"/>
          <w:szCs w:val="14"/>
          <w:shd w:val="clear" w:color="auto" w:fill="FFFFFF"/>
          <w:lang w:val="fr-FR"/>
        </w:rPr>
        <w:t>Neurol</w:t>
      </w:r>
      <w:proofErr w:type="spellEnd"/>
      <w:r w:rsidR="00C41F11" w:rsidRPr="003359AE">
        <w:rPr>
          <w:rFonts w:eastAsia="Times New Roman" w:cstheme="minorHAnsi"/>
          <w:i/>
          <w:iCs/>
          <w:color w:val="000000" w:themeColor="text1"/>
          <w:sz w:val="14"/>
          <w:szCs w:val="14"/>
          <w:shd w:val="clear" w:color="auto" w:fill="FFFFFF"/>
          <w:lang w:val="fr-FR"/>
        </w:rPr>
        <w:t>.</w:t>
      </w:r>
      <w:r w:rsidR="00C41F11" w:rsidRPr="003359AE">
        <w:rPr>
          <w:rFonts w:eastAsia="Times New Roman" w:cstheme="minorHAnsi"/>
          <w:color w:val="000000" w:themeColor="text1"/>
          <w:sz w:val="14"/>
          <w:szCs w:val="14"/>
          <w:shd w:val="clear" w:color="auto" w:fill="FFFFFF"/>
          <w:lang w:val="fr-FR"/>
        </w:rPr>
        <w:t xml:space="preserve"> </w:t>
      </w:r>
      <w:r w:rsidR="00C41F11" w:rsidRPr="004C067D">
        <w:rPr>
          <w:rFonts w:eastAsia="Times New Roman" w:cstheme="minorHAnsi"/>
          <w:color w:val="000000" w:themeColor="text1"/>
          <w:sz w:val="14"/>
          <w:szCs w:val="14"/>
          <w:shd w:val="clear" w:color="auto" w:fill="FFFFFF"/>
          <w:lang w:val="fr-FR"/>
        </w:rPr>
        <w:t xml:space="preserve">2013;260:1388-1395. </w:t>
      </w:r>
      <w:r w:rsidR="00C41F11" w:rsidRPr="004C067D">
        <w:rPr>
          <w:rFonts w:eastAsia="Times New Roman" w:cstheme="minorHAnsi"/>
          <w:b/>
          <w:bCs/>
          <w:color w:val="000000" w:themeColor="text1"/>
          <w:sz w:val="14"/>
          <w:szCs w:val="14"/>
          <w:shd w:val="clear" w:color="auto" w:fill="FFFFFF"/>
          <w:lang w:val="fr-FR"/>
        </w:rPr>
        <w:t>4</w:t>
      </w:r>
      <w:r w:rsidRPr="004C067D">
        <w:rPr>
          <w:rFonts w:eastAsia="Times New Roman" w:cstheme="minorHAnsi"/>
          <w:color w:val="000000" w:themeColor="text1"/>
          <w:sz w:val="14"/>
          <w:szCs w:val="14"/>
          <w:shd w:val="clear" w:color="auto" w:fill="FFFFFF"/>
          <w:lang w:val="fr-FR"/>
        </w:rPr>
        <w:t xml:space="preserve">. </w:t>
      </w:r>
      <w:proofErr w:type="spellStart"/>
      <w:r w:rsidRPr="004C067D">
        <w:rPr>
          <w:rFonts w:eastAsia="Times New Roman" w:cstheme="minorHAnsi"/>
          <w:color w:val="000000" w:themeColor="text1"/>
          <w:sz w:val="14"/>
          <w:szCs w:val="14"/>
          <w:shd w:val="clear" w:color="auto" w:fill="FFFFFF"/>
          <w:lang w:val="fr-FR"/>
        </w:rPr>
        <w:t>Butzkueven</w:t>
      </w:r>
      <w:proofErr w:type="spellEnd"/>
      <w:r w:rsidRPr="004C067D">
        <w:rPr>
          <w:rFonts w:eastAsia="Times New Roman" w:cstheme="minorHAnsi"/>
          <w:color w:val="000000" w:themeColor="text1"/>
          <w:sz w:val="14"/>
          <w:szCs w:val="14"/>
          <w:shd w:val="clear" w:color="auto" w:fill="FFFFFF"/>
          <w:lang w:val="fr-FR"/>
        </w:rPr>
        <w:t xml:space="preserve"> H, et al. </w:t>
      </w:r>
      <w:proofErr w:type="spellStart"/>
      <w:r w:rsidRPr="004C067D">
        <w:rPr>
          <w:rFonts w:eastAsia="Times New Roman" w:cstheme="minorHAnsi"/>
          <w:i/>
          <w:iCs/>
          <w:color w:val="000000" w:themeColor="text1"/>
          <w:sz w:val="14"/>
          <w:szCs w:val="14"/>
          <w:shd w:val="clear" w:color="auto" w:fill="FFFFFF"/>
          <w:lang w:val="fr-FR"/>
        </w:rPr>
        <w:t>Neurol</w:t>
      </w:r>
      <w:proofErr w:type="spellEnd"/>
      <w:r w:rsidRPr="004C067D">
        <w:rPr>
          <w:rFonts w:eastAsia="Times New Roman" w:cstheme="minorHAnsi"/>
          <w:i/>
          <w:iCs/>
          <w:color w:val="000000" w:themeColor="text1"/>
          <w:sz w:val="14"/>
          <w:szCs w:val="14"/>
          <w:shd w:val="clear" w:color="auto" w:fill="FFFFFF"/>
          <w:lang w:val="fr-FR"/>
        </w:rPr>
        <w:t xml:space="preserve"> </w:t>
      </w:r>
      <w:proofErr w:type="spellStart"/>
      <w:r w:rsidRPr="004C067D">
        <w:rPr>
          <w:rFonts w:eastAsia="Times New Roman" w:cstheme="minorHAnsi"/>
          <w:i/>
          <w:iCs/>
          <w:color w:val="000000" w:themeColor="text1"/>
          <w:sz w:val="14"/>
          <w:szCs w:val="14"/>
          <w:shd w:val="clear" w:color="auto" w:fill="FFFFFF"/>
          <w:lang w:val="fr-FR"/>
        </w:rPr>
        <w:t>Neurosurg</w:t>
      </w:r>
      <w:proofErr w:type="spellEnd"/>
      <w:r w:rsidRPr="004C067D">
        <w:rPr>
          <w:rFonts w:eastAsia="Times New Roman" w:cstheme="minorHAnsi"/>
          <w:i/>
          <w:iCs/>
          <w:color w:val="000000" w:themeColor="text1"/>
          <w:sz w:val="14"/>
          <w:szCs w:val="14"/>
          <w:shd w:val="clear" w:color="auto" w:fill="FFFFFF"/>
          <w:lang w:val="fr-FR"/>
        </w:rPr>
        <w:t xml:space="preserve"> </w:t>
      </w:r>
      <w:proofErr w:type="spellStart"/>
      <w:r w:rsidRPr="004C067D">
        <w:rPr>
          <w:rFonts w:eastAsia="Times New Roman" w:cstheme="minorHAnsi"/>
          <w:i/>
          <w:iCs/>
          <w:color w:val="000000" w:themeColor="text1"/>
          <w:sz w:val="14"/>
          <w:szCs w:val="14"/>
          <w:shd w:val="clear" w:color="auto" w:fill="FFFFFF"/>
          <w:lang w:val="fr-FR"/>
        </w:rPr>
        <w:t>Psychiatry</w:t>
      </w:r>
      <w:proofErr w:type="spellEnd"/>
      <w:r w:rsidRPr="004C067D">
        <w:rPr>
          <w:rFonts w:eastAsia="Times New Roman" w:cstheme="minorHAnsi"/>
          <w:i/>
          <w:iCs/>
          <w:color w:val="000000" w:themeColor="text1"/>
          <w:sz w:val="14"/>
          <w:szCs w:val="14"/>
          <w:shd w:val="clear" w:color="auto" w:fill="FFFFFF"/>
          <w:lang w:val="fr-FR"/>
        </w:rPr>
        <w:t>.</w:t>
      </w:r>
      <w:r w:rsidRPr="004C067D">
        <w:rPr>
          <w:rFonts w:eastAsia="Times New Roman" w:cstheme="minorHAnsi"/>
          <w:color w:val="000000" w:themeColor="text1"/>
          <w:sz w:val="14"/>
          <w:szCs w:val="14"/>
          <w:shd w:val="clear" w:color="auto" w:fill="FFFFFF"/>
          <w:lang w:val="fr-FR"/>
        </w:rPr>
        <w:t xml:space="preserve"> 2020;91:660-668. </w:t>
      </w:r>
      <w:r w:rsidR="00C41F11" w:rsidRPr="004C067D">
        <w:rPr>
          <w:rFonts w:eastAsia="Times New Roman" w:cstheme="minorHAnsi"/>
          <w:b/>
          <w:bCs/>
          <w:color w:val="000000" w:themeColor="text1"/>
          <w:sz w:val="14"/>
          <w:szCs w:val="14"/>
          <w:shd w:val="clear" w:color="auto" w:fill="FFFFFF"/>
          <w:lang w:val="fr-FR"/>
        </w:rPr>
        <w:t>5</w:t>
      </w:r>
      <w:r w:rsidRPr="004C067D">
        <w:rPr>
          <w:rFonts w:eastAsia="Times New Roman" w:cstheme="minorHAnsi"/>
          <w:b/>
          <w:bCs/>
          <w:color w:val="000000" w:themeColor="text1"/>
          <w:sz w:val="14"/>
          <w:szCs w:val="14"/>
          <w:shd w:val="clear" w:color="auto" w:fill="FFFFFF"/>
          <w:lang w:val="fr-FR"/>
        </w:rPr>
        <w:t xml:space="preserve">. </w:t>
      </w:r>
      <w:r w:rsidRPr="004C067D">
        <w:rPr>
          <w:rFonts w:eastAsia="Times New Roman" w:cstheme="minorHAnsi"/>
          <w:color w:val="000000" w:themeColor="text1"/>
          <w:sz w:val="14"/>
          <w:szCs w:val="14"/>
          <w:shd w:val="clear" w:color="auto" w:fill="FFFFFF"/>
          <w:lang w:val="fr-FR"/>
        </w:rPr>
        <w:t xml:space="preserve">Foley J, et al; TYGRIS </w:t>
      </w:r>
      <w:proofErr w:type="spellStart"/>
      <w:r w:rsidRPr="004C067D">
        <w:rPr>
          <w:rFonts w:eastAsia="Times New Roman" w:cstheme="minorHAnsi"/>
          <w:color w:val="000000" w:themeColor="text1"/>
          <w:sz w:val="14"/>
          <w:szCs w:val="14"/>
          <w:shd w:val="clear" w:color="auto" w:fill="FFFFFF"/>
          <w:lang w:val="fr-FR"/>
        </w:rPr>
        <w:t>investigators</w:t>
      </w:r>
      <w:proofErr w:type="spellEnd"/>
      <w:r w:rsidRPr="004C067D">
        <w:rPr>
          <w:rFonts w:eastAsia="Times New Roman" w:cstheme="minorHAnsi"/>
          <w:color w:val="000000" w:themeColor="text1"/>
          <w:sz w:val="14"/>
          <w:szCs w:val="14"/>
          <w:shd w:val="clear" w:color="auto" w:fill="FFFFFF"/>
          <w:lang w:val="fr-FR"/>
        </w:rPr>
        <w:t xml:space="preserve">. </w:t>
      </w:r>
      <w:proofErr w:type="spellStart"/>
      <w:r w:rsidRPr="004C067D">
        <w:rPr>
          <w:rFonts w:eastAsia="Times New Roman" w:cstheme="minorHAnsi"/>
          <w:i/>
          <w:iCs/>
          <w:color w:val="000000" w:themeColor="text1"/>
          <w:sz w:val="14"/>
          <w:szCs w:val="14"/>
          <w:shd w:val="clear" w:color="auto" w:fill="FFFFFF"/>
          <w:lang w:val="fr-FR"/>
        </w:rPr>
        <w:t>Mult</w:t>
      </w:r>
      <w:proofErr w:type="spellEnd"/>
      <w:r w:rsidRPr="004C067D">
        <w:rPr>
          <w:rFonts w:eastAsia="Times New Roman" w:cstheme="minorHAnsi"/>
          <w:i/>
          <w:iCs/>
          <w:color w:val="000000" w:themeColor="text1"/>
          <w:sz w:val="14"/>
          <w:szCs w:val="14"/>
          <w:shd w:val="clear" w:color="auto" w:fill="FFFFFF"/>
          <w:lang w:val="fr-FR"/>
        </w:rPr>
        <w:t xml:space="preserve"> </w:t>
      </w:r>
      <w:proofErr w:type="spellStart"/>
      <w:r w:rsidRPr="004C067D">
        <w:rPr>
          <w:rFonts w:eastAsia="Times New Roman" w:cstheme="minorHAnsi"/>
          <w:i/>
          <w:iCs/>
          <w:color w:val="000000" w:themeColor="text1"/>
          <w:sz w:val="14"/>
          <w:szCs w:val="14"/>
          <w:shd w:val="clear" w:color="auto" w:fill="FFFFFF"/>
          <w:lang w:val="fr-FR"/>
        </w:rPr>
        <w:t>Scler</w:t>
      </w:r>
      <w:proofErr w:type="spellEnd"/>
      <w:r w:rsidRPr="004C067D">
        <w:rPr>
          <w:rFonts w:eastAsia="Times New Roman" w:cstheme="minorHAnsi"/>
          <w:i/>
          <w:iCs/>
          <w:color w:val="000000" w:themeColor="text1"/>
          <w:sz w:val="14"/>
          <w:szCs w:val="14"/>
          <w:shd w:val="clear" w:color="auto" w:fill="FFFFFF"/>
          <w:lang w:val="fr-FR"/>
        </w:rPr>
        <w:t xml:space="preserve"> </w:t>
      </w:r>
      <w:proofErr w:type="spellStart"/>
      <w:r w:rsidRPr="004C067D">
        <w:rPr>
          <w:rFonts w:eastAsia="Times New Roman" w:cstheme="minorHAnsi"/>
          <w:i/>
          <w:iCs/>
          <w:color w:val="000000" w:themeColor="text1"/>
          <w:sz w:val="14"/>
          <w:szCs w:val="14"/>
          <w:shd w:val="clear" w:color="auto" w:fill="FFFFFF"/>
          <w:lang w:val="fr-FR"/>
        </w:rPr>
        <w:t>Relat</w:t>
      </w:r>
      <w:proofErr w:type="spellEnd"/>
      <w:r w:rsidRPr="004C067D">
        <w:rPr>
          <w:rFonts w:eastAsia="Times New Roman" w:cstheme="minorHAnsi"/>
          <w:i/>
          <w:iCs/>
          <w:color w:val="000000" w:themeColor="text1"/>
          <w:sz w:val="14"/>
          <w:szCs w:val="14"/>
          <w:shd w:val="clear" w:color="auto" w:fill="FFFFFF"/>
          <w:lang w:val="fr-FR"/>
        </w:rPr>
        <w:t xml:space="preserve"> </w:t>
      </w:r>
      <w:proofErr w:type="spellStart"/>
      <w:r w:rsidRPr="004C067D">
        <w:rPr>
          <w:rFonts w:eastAsia="Times New Roman" w:cstheme="minorHAnsi"/>
          <w:i/>
          <w:iCs/>
          <w:color w:val="000000" w:themeColor="text1"/>
          <w:sz w:val="14"/>
          <w:szCs w:val="14"/>
          <w:shd w:val="clear" w:color="auto" w:fill="FFFFFF"/>
          <w:lang w:val="fr-FR"/>
        </w:rPr>
        <w:t>Disord</w:t>
      </w:r>
      <w:proofErr w:type="spellEnd"/>
      <w:r w:rsidRPr="004C067D">
        <w:rPr>
          <w:rFonts w:eastAsia="Times New Roman" w:cstheme="minorHAnsi"/>
          <w:i/>
          <w:iCs/>
          <w:color w:val="000000" w:themeColor="text1"/>
          <w:sz w:val="14"/>
          <w:szCs w:val="14"/>
          <w:shd w:val="clear" w:color="auto" w:fill="FFFFFF"/>
          <w:lang w:val="fr-FR"/>
        </w:rPr>
        <w:t>.</w:t>
      </w:r>
      <w:r w:rsidRPr="004C067D">
        <w:rPr>
          <w:rFonts w:eastAsia="Times New Roman" w:cstheme="minorHAnsi"/>
          <w:color w:val="000000" w:themeColor="text1"/>
          <w:sz w:val="14"/>
          <w:szCs w:val="14"/>
          <w:shd w:val="clear" w:color="auto" w:fill="FFFFFF"/>
          <w:lang w:val="fr-FR"/>
        </w:rPr>
        <w:t xml:space="preserve"> 2020;39:101863. </w:t>
      </w:r>
      <w:r w:rsidRPr="004C067D">
        <w:rPr>
          <w:rFonts w:eastAsia="Times New Roman" w:cstheme="minorHAnsi"/>
          <w:b/>
          <w:bCs/>
          <w:color w:val="000000" w:themeColor="text1"/>
          <w:sz w:val="14"/>
          <w:szCs w:val="14"/>
          <w:shd w:val="clear" w:color="auto" w:fill="FFFFFF"/>
          <w:lang w:val="fr-FR"/>
        </w:rPr>
        <w:t xml:space="preserve">6. </w:t>
      </w:r>
      <w:r w:rsidRPr="004C067D">
        <w:rPr>
          <w:rFonts w:eastAsia="Times New Roman" w:cstheme="minorHAnsi"/>
          <w:color w:val="000000" w:themeColor="text1"/>
          <w:sz w:val="14"/>
          <w:szCs w:val="14"/>
          <w:shd w:val="clear" w:color="auto" w:fill="FFFFFF"/>
          <w:lang w:val="fr-FR"/>
        </w:rPr>
        <w:t xml:space="preserve">Hersh CM, </w:t>
      </w:r>
      <w:proofErr w:type="spellStart"/>
      <w:r w:rsidRPr="004C067D">
        <w:rPr>
          <w:rFonts w:eastAsia="Times New Roman" w:cstheme="minorHAnsi"/>
          <w:color w:val="000000" w:themeColor="text1"/>
          <w:sz w:val="14"/>
          <w:szCs w:val="14"/>
          <w:shd w:val="clear" w:color="auto" w:fill="FFFFFF"/>
          <w:lang w:val="fr-FR"/>
        </w:rPr>
        <w:t>Kieseier</w:t>
      </w:r>
      <w:proofErr w:type="spellEnd"/>
      <w:r w:rsidRPr="004C067D">
        <w:rPr>
          <w:rFonts w:eastAsia="Times New Roman" w:cstheme="minorHAnsi"/>
          <w:color w:val="000000" w:themeColor="text1"/>
          <w:sz w:val="14"/>
          <w:szCs w:val="14"/>
          <w:shd w:val="clear" w:color="auto" w:fill="FFFFFF"/>
          <w:lang w:val="fr-FR"/>
        </w:rPr>
        <w:t xml:space="preserve"> B, de Moor C, et al. </w:t>
      </w:r>
      <w:proofErr w:type="spellStart"/>
      <w:r w:rsidRPr="004C067D">
        <w:rPr>
          <w:rFonts w:eastAsia="Times New Roman" w:cstheme="minorHAnsi"/>
          <w:i/>
          <w:iCs/>
          <w:color w:val="000000" w:themeColor="text1"/>
          <w:sz w:val="14"/>
          <w:szCs w:val="14"/>
          <w:shd w:val="clear" w:color="auto" w:fill="FFFFFF"/>
          <w:lang w:val="fr-FR"/>
        </w:rPr>
        <w:t>Mult</w:t>
      </w:r>
      <w:proofErr w:type="spellEnd"/>
      <w:r w:rsidRPr="004C067D">
        <w:rPr>
          <w:rFonts w:eastAsia="Times New Roman" w:cstheme="minorHAnsi"/>
          <w:i/>
          <w:iCs/>
          <w:color w:val="000000" w:themeColor="text1"/>
          <w:sz w:val="14"/>
          <w:szCs w:val="14"/>
          <w:shd w:val="clear" w:color="auto" w:fill="FFFFFF"/>
          <w:lang w:val="fr-FR"/>
        </w:rPr>
        <w:t xml:space="preserve"> </w:t>
      </w:r>
      <w:proofErr w:type="spellStart"/>
      <w:r w:rsidRPr="004C067D">
        <w:rPr>
          <w:rFonts w:eastAsia="Times New Roman" w:cstheme="minorHAnsi"/>
          <w:i/>
          <w:iCs/>
          <w:color w:val="000000" w:themeColor="text1"/>
          <w:sz w:val="14"/>
          <w:szCs w:val="14"/>
          <w:shd w:val="clear" w:color="auto" w:fill="FFFFFF"/>
          <w:lang w:val="fr-FR"/>
        </w:rPr>
        <w:t>Scler</w:t>
      </w:r>
      <w:proofErr w:type="spellEnd"/>
      <w:r w:rsidRPr="004C067D">
        <w:rPr>
          <w:rFonts w:eastAsia="Times New Roman" w:cstheme="minorHAnsi"/>
          <w:i/>
          <w:iCs/>
          <w:color w:val="000000" w:themeColor="text1"/>
          <w:sz w:val="14"/>
          <w:szCs w:val="14"/>
          <w:shd w:val="clear" w:color="auto" w:fill="FFFFFF"/>
          <w:lang w:val="fr-FR"/>
        </w:rPr>
        <w:t xml:space="preserve"> J </w:t>
      </w:r>
      <w:proofErr w:type="spellStart"/>
      <w:r w:rsidRPr="004C067D">
        <w:rPr>
          <w:rFonts w:eastAsia="Times New Roman" w:cstheme="minorHAnsi"/>
          <w:i/>
          <w:iCs/>
          <w:color w:val="000000" w:themeColor="text1"/>
          <w:sz w:val="14"/>
          <w:szCs w:val="14"/>
          <w:shd w:val="clear" w:color="auto" w:fill="FFFFFF"/>
          <w:lang w:val="fr-FR"/>
        </w:rPr>
        <w:t>Exp</w:t>
      </w:r>
      <w:proofErr w:type="spellEnd"/>
      <w:r w:rsidRPr="004C067D">
        <w:rPr>
          <w:rFonts w:eastAsia="Times New Roman" w:cstheme="minorHAnsi"/>
          <w:i/>
          <w:iCs/>
          <w:color w:val="000000" w:themeColor="text1"/>
          <w:sz w:val="14"/>
          <w:szCs w:val="14"/>
          <w:shd w:val="clear" w:color="auto" w:fill="FFFFFF"/>
          <w:lang w:val="fr-FR"/>
        </w:rPr>
        <w:t xml:space="preserve"> </w:t>
      </w:r>
      <w:proofErr w:type="spellStart"/>
      <w:r w:rsidRPr="004C067D">
        <w:rPr>
          <w:rFonts w:eastAsia="Times New Roman" w:cstheme="minorHAnsi"/>
          <w:i/>
          <w:iCs/>
          <w:color w:val="000000" w:themeColor="text1"/>
          <w:sz w:val="14"/>
          <w:szCs w:val="14"/>
          <w:shd w:val="clear" w:color="auto" w:fill="FFFFFF"/>
          <w:lang w:val="fr-FR"/>
        </w:rPr>
        <w:t>Transl</w:t>
      </w:r>
      <w:proofErr w:type="spellEnd"/>
      <w:r w:rsidRPr="004C067D">
        <w:rPr>
          <w:rFonts w:eastAsia="Times New Roman" w:cstheme="minorHAnsi"/>
          <w:i/>
          <w:iCs/>
          <w:color w:val="000000" w:themeColor="text1"/>
          <w:sz w:val="14"/>
          <w:szCs w:val="14"/>
          <w:shd w:val="clear" w:color="auto" w:fill="FFFFFF"/>
          <w:lang w:val="fr-FR"/>
        </w:rPr>
        <w:t xml:space="preserve"> Clin.</w:t>
      </w:r>
      <w:r w:rsidRPr="004C067D">
        <w:rPr>
          <w:rFonts w:eastAsia="Times New Roman" w:cstheme="minorHAnsi"/>
          <w:color w:val="000000" w:themeColor="text1"/>
          <w:sz w:val="14"/>
          <w:szCs w:val="14"/>
          <w:shd w:val="clear" w:color="auto" w:fill="FFFFFF"/>
          <w:lang w:val="fr-FR"/>
        </w:rPr>
        <w:t xml:space="preserve"> 2021;7(2): 20552173211004634 </w:t>
      </w:r>
      <w:r w:rsidRPr="004C067D">
        <w:rPr>
          <w:rFonts w:eastAsia="Times New Roman" w:cstheme="minorHAnsi"/>
          <w:b/>
          <w:bCs/>
          <w:color w:val="000000" w:themeColor="text1"/>
          <w:sz w:val="14"/>
          <w:szCs w:val="14"/>
          <w:shd w:val="clear" w:color="auto" w:fill="FFFFFF"/>
          <w:lang w:val="fr-FR"/>
        </w:rPr>
        <w:t xml:space="preserve">7. </w:t>
      </w:r>
      <w:r w:rsidRPr="004C067D">
        <w:rPr>
          <w:rFonts w:eastAsia="Times New Roman" w:cstheme="minorHAnsi"/>
          <w:color w:val="000000" w:themeColor="text1"/>
          <w:sz w:val="14"/>
          <w:szCs w:val="14"/>
          <w:shd w:val="clear" w:color="auto" w:fill="FFFFFF"/>
          <w:lang w:val="fr-FR"/>
        </w:rPr>
        <w:t>TYSABRI Cumulative Post-</w:t>
      </w:r>
      <w:proofErr w:type="spellStart"/>
      <w:r w:rsidRPr="004C067D">
        <w:rPr>
          <w:rFonts w:eastAsia="Times New Roman" w:cstheme="minorHAnsi"/>
          <w:color w:val="000000" w:themeColor="text1"/>
          <w:sz w:val="14"/>
          <w:szCs w:val="14"/>
          <w:shd w:val="clear" w:color="auto" w:fill="FFFFFF"/>
          <w:lang w:val="fr-FR"/>
        </w:rPr>
        <w:t>Market</w:t>
      </w:r>
      <w:proofErr w:type="spellEnd"/>
      <w:r w:rsidRPr="004C067D">
        <w:rPr>
          <w:rFonts w:eastAsia="Times New Roman" w:cstheme="minorHAnsi"/>
          <w:color w:val="000000" w:themeColor="text1"/>
          <w:sz w:val="14"/>
          <w:szCs w:val="14"/>
          <w:shd w:val="clear" w:color="auto" w:fill="FFFFFF"/>
          <w:lang w:val="fr-FR"/>
        </w:rPr>
        <w:t xml:space="preserve"> &amp; </w:t>
      </w:r>
      <w:proofErr w:type="spellStart"/>
      <w:r w:rsidRPr="004C067D">
        <w:rPr>
          <w:rFonts w:eastAsia="Times New Roman" w:cstheme="minorHAnsi"/>
          <w:color w:val="000000" w:themeColor="text1"/>
          <w:sz w:val="14"/>
          <w:szCs w:val="14"/>
          <w:shd w:val="clear" w:color="auto" w:fill="FFFFFF"/>
          <w:lang w:val="fr-FR"/>
        </w:rPr>
        <w:t>Clinical</w:t>
      </w:r>
      <w:proofErr w:type="spellEnd"/>
      <w:r w:rsidRPr="004C067D">
        <w:rPr>
          <w:rFonts w:eastAsia="Times New Roman" w:cstheme="minorHAnsi"/>
          <w:color w:val="000000" w:themeColor="text1"/>
          <w:sz w:val="14"/>
          <w:szCs w:val="14"/>
          <w:shd w:val="clear" w:color="auto" w:fill="FFFFFF"/>
          <w:lang w:val="fr-FR"/>
        </w:rPr>
        <w:t xml:space="preserve"> Trial Patient </w:t>
      </w:r>
      <w:proofErr w:type="spellStart"/>
      <w:r w:rsidRPr="004C067D">
        <w:rPr>
          <w:rFonts w:eastAsia="Times New Roman" w:cstheme="minorHAnsi"/>
          <w:color w:val="000000" w:themeColor="text1"/>
          <w:sz w:val="14"/>
          <w:szCs w:val="14"/>
          <w:shd w:val="clear" w:color="auto" w:fill="FFFFFF"/>
          <w:lang w:val="fr-FR"/>
        </w:rPr>
        <w:t>Exposure</w:t>
      </w:r>
      <w:proofErr w:type="spellEnd"/>
      <w:r w:rsidRPr="004C067D">
        <w:rPr>
          <w:rFonts w:eastAsia="Times New Roman" w:cstheme="minorHAnsi"/>
          <w:color w:val="000000" w:themeColor="text1"/>
          <w:sz w:val="14"/>
          <w:szCs w:val="14"/>
          <w:shd w:val="clear" w:color="auto" w:fill="FFFFFF"/>
          <w:lang w:val="fr-FR"/>
        </w:rPr>
        <w:t xml:space="preserve">. </w:t>
      </w:r>
      <w:r w:rsidRPr="004C067D">
        <w:rPr>
          <w:rFonts w:eastAsia="Times New Roman" w:cstheme="minorHAnsi"/>
          <w:color w:val="000000" w:themeColor="text1"/>
          <w:sz w:val="14"/>
          <w:szCs w:val="14"/>
          <w:shd w:val="clear" w:color="auto" w:fill="FFFFFF"/>
        </w:rPr>
        <w:t>Data on file. Biogen, Cambridge, MA.</w:t>
      </w:r>
    </w:p>
    <w:sectPr w:rsidR="003B47D5" w:rsidSect="001B127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BF971" w14:textId="77777777" w:rsidR="001B1275" w:rsidRDefault="001B1275" w:rsidP="000D3A61">
      <w:pPr>
        <w:spacing w:after="0" w:line="240" w:lineRule="auto"/>
      </w:pPr>
      <w:r>
        <w:separator/>
      </w:r>
    </w:p>
  </w:endnote>
  <w:endnote w:type="continuationSeparator" w:id="0">
    <w:p w14:paraId="51C1E991" w14:textId="77777777" w:rsidR="001B1275" w:rsidRDefault="001B1275" w:rsidP="000D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5C7C1" w14:textId="15E1C448" w:rsidR="00530CE8" w:rsidRPr="003425F5" w:rsidRDefault="00530CE8" w:rsidP="003425F5">
    <w:pPr>
      <w:pStyle w:val="Footer"/>
      <w:tabs>
        <w:tab w:val="clear" w:pos="4680"/>
        <w:tab w:val="clear" w:pos="9360"/>
      </w:tabs>
      <w:jc w:val="center"/>
      <w:rPr>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7720" w14:textId="77777777" w:rsidR="00270E8D" w:rsidRDefault="00270E8D" w:rsidP="00F0507D">
    <w:pPr>
      <w:pStyle w:val="Footer"/>
      <w:tabs>
        <w:tab w:val="clear" w:pos="4680"/>
        <w:tab w:val="clear" w:pos="9360"/>
      </w:tabs>
      <w:jc w:val="center"/>
      <w:rPr>
        <w:rFonts w:cstheme="minorHAnsi"/>
        <w:color w:val="000000" w:themeColor="text1"/>
        <w:sz w:val="16"/>
        <w:szCs w:val="16"/>
      </w:rPr>
    </w:pPr>
  </w:p>
  <w:p w14:paraId="66F2FAC9" w14:textId="74D92CEF" w:rsidR="000D3A61" w:rsidRPr="00F0507D" w:rsidRDefault="00FC7F78" w:rsidP="00F0507D">
    <w:pPr>
      <w:pStyle w:val="Footer"/>
      <w:tabs>
        <w:tab w:val="clear" w:pos="4680"/>
        <w:tab w:val="clear" w:pos="9360"/>
      </w:tabs>
      <w:jc w:val="center"/>
      <w:rPr>
        <w:rFonts w:cstheme="minorHAnsi"/>
        <w:color w:val="000000" w:themeColor="text1"/>
        <w:sz w:val="16"/>
        <w:szCs w:val="16"/>
      </w:rPr>
    </w:pPr>
    <w:r w:rsidRPr="00F0507D">
      <w:rPr>
        <w:rFonts w:cstheme="minorHAnsi"/>
        <w:color w:val="000000" w:themeColor="text1"/>
        <w:sz w:val="16"/>
        <w:szCs w:val="16"/>
      </w:rPr>
      <w:t>©2024 Biogen</w:t>
    </w:r>
    <w:r w:rsidR="00F0507D" w:rsidRPr="00F0507D">
      <w:rPr>
        <w:rFonts w:cstheme="minorHAnsi"/>
        <w:color w:val="000000" w:themeColor="text1"/>
        <w:sz w:val="16"/>
        <w:szCs w:val="16"/>
      </w:rPr>
      <w:t xml:space="preserve">.   </w:t>
    </w:r>
    <w:r w:rsidR="00F0507D" w:rsidRPr="00F0507D">
      <w:rPr>
        <w:color w:val="000000" w:themeColor="text1"/>
        <w:sz w:val="16"/>
        <w:szCs w:val="16"/>
      </w:rPr>
      <w:t>All rights reserved.   0</w:t>
    </w:r>
    <w:r w:rsidR="00DE4271">
      <w:rPr>
        <w:color w:val="000000" w:themeColor="text1"/>
        <w:sz w:val="16"/>
        <w:szCs w:val="16"/>
      </w:rPr>
      <w:t>8</w:t>
    </w:r>
    <w:r w:rsidR="00F0507D" w:rsidRPr="00F0507D">
      <w:rPr>
        <w:color w:val="000000" w:themeColor="text1"/>
        <w:sz w:val="16"/>
        <w:szCs w:val="16"/>
      </w:rPr>
      <w:t xml:space="preserve">/24   </w:t>
    </w:r>
    <w:r w:rsidR="00F0507D" w:rsidRPr="00F0507D">
      <w:rPr>
        <w:rFonts w:cstheme="minorHAnsi"/>
        <w:color w:val="000000" w:themeColor="text1"/>
        <w:sz w:val="16"/>
        <w:szCs w:val="16"/>
      </w:rPr>
      <w:t>TYS-US-4340</w:t>
    </w:r>
    <w:r w:rsidR="003C2598">
      <w:rPr>
        <w:rFonts w:cstheme="minorHAnsi"/>
        <w:color w:val="000000" w:themeColor="text1"/>
        <w:sz w:val="16"/>
        <w:szCs w:val="16"/>
      </w:rPr>
      <w:t xml:space="preserve"> 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AB34" w14:textId="77777777" w:rsidR="0002618E" w:rsidRPr="00531363" w:rsidRDefault="0002618E" w:rsidP="00531363">
    <w:pPr>
      <w:pStyle w:val="Footer"/>
      <w:tabs>
        <w:tab w:val="clear" w:pos="4680"/>
        <w:tab w:val="clear" w:pos="9360"/>
      </w:tabs>
      <w:jc w:val="center"/>
      <w:rPr>
        <w:color w:val="000000" w:themeColor="text1"/>
        <w:sz w:val="16"/>
        <w:szCs w:val="16"/>
      </w:rPr>
    </w:pPr>
    <w:r w:rsidRPr="00F0507D">
      <w:rPr>
        <w:rFonts w:cstheme="minorHAnsi"/>
        <w:color w:val="000000" w:themeColor="text1"/>
        <w:sz w:val="16"/>
        <w:szCs w:val="16"/>
      </w:rPr>
      <w:t xml:space="preserve">©2024 Biogen.   </w:t>
    </w:r>
    <w:r w:rsidRPr="00F0507D">
      <w:rPr>
        <w:color w:val="000000" w:themeColor="text1"/>
        <w:sz w:val="16"/>
        <w:szCs w:val="16"/>
      </w:rPr>
      <w:t>All rights reserved.   0</w:t>
    </w:r>
    <w:r>
      <w:rPr>
        <w:color w:val="000000" w:themeColor="text1"/>
        <w:sz w:val="16"/>
        <w:szCs w:val="16"/>
      </w:rPr>
      <w:t>7</w:t>
    </w:r>
    <w:r w:rsidRPr="00F0507D">
      <w:rPr>
        <w:color w:val="000000" w:themeColor="text1"/>
        <w:sz w:val="16"/>
        <w:szCs w:val="16"/>
      </w:rPr>
      <w:t xml:space="preserve">/24   </w:t>
    </w:r>
    <w:r w:rsidRPr="00F0507D">
      <w:rPr>
        <w:rFonts w:cstheme="minorHAnsi"/>
        <w:color w:val="000000" w:themeColor="text1"/>
        <w:sz w:val="16"/>
        <w:szCs w:val="16"/>
      </w:rPr>
      <w:t>TYS-US-434</w:t>
    </w:r>
    <w:r>
      <w:rPr>
        <w:rFonts w:cstheme="minorHAnsi"/>
        <w:color w:val="000000" w:themeColor="text1"/>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080C9" w14:textId="77777777" w:rsidR="001B1275" w:rsidRDefault="001B1275" w:rsidP="000D3A61">
      <w:pPr>
        <w:spacing w:after="0" w:line="240" w:lineRule="auto"/>
      </w:pPr>
      <w:r>
        <w:separator/>
      </w:r>
    </w:p>
  </w:footnote>
  <w:footnote w:type="continuationSeparator" w:id="0">
    <w:p w14:paraId="0559096E" w14:textId="77777777" w:rsidR="001B1275" w:rsidRDefault="001B1275" w:rsidP="000D3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A6A"/>
    <w:multiLevelType w:val="hybridMultilevel"/>
    <w:tmpl w:val="FCB6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C15E9"/>
    <w:multiLevelType w:val="hybridMultilevel"/>
    <w:tmpl w:val="918AC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440F"/>
    <w:multiLevelType w:val="multilevel"/>
    <w:tmpl w:val="754C83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9B91D6D"/>
    <w:multiLevelType w:val="multilevel"/>
    <w:tmpl w:val="793675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F73D5"/>
    <w:multiLevelType w:val="hybridMultilevel"/>
    <w:tmpl w:val="8A4C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BCA"/>
    <w:multiLevelType w:val="multilevel"/>
    <w:tmpl w:val="513262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C1185"/>
    <w:multiLevelType w:val="hybridMultilevel"/>
    <w:tmpl w:val="A86A8718"/>
    <w:lvl w:ilvl="0" w:tplc="B41E599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414B96"/>
    <w:multiLevelType w:val="hybridMultilevel"/>
    <w:tmpl w:val="196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C40FB"/>
    <w:multiLevelType w:val="hybridMultilevel"/>
    <w:tmpl w:val="3DA0B34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76509"/>
    <w:multiLevelType w:val="hybridMultilevel"/>
    <w:tmpl w:val="F5AE9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11EFB"/>
    <w:multiLevelType w:val="multilevel"/>
    <w:tmpl w:val="642C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97A37"/>
    <w:multiLevelType w:val="hybridMultilevel"/>
    <w:tmpl w:val="7F763568"/>
    <w:lvl w:ilvl="0" w:tplc="FFFFFFFF">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0852D9"/>
    <w:multiLevelType w:val="hybridMultilevel"/>
    <w:tmpl w:val="1916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01C00"/>
    <w:multiLevelType w:val="multilevel"/>
    <w:tmpl w:val="BD02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A22576"/>
    <w:multiLevelType w:val="hybridMultilevel"/>
    <w:tmpl w:val="B8E4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4AAB"/>
    <w:multiLevelType w:val="hybridMultilevel"/>
    <w:tmpl w:val="4E4E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C6638"/>
    <w:multiLevelType w:val="multilevel"/>
    <w:tmpl w:val="79B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3865B4"/>
    <w:multiLevelType w:val="multilevel"/>
    <w:tmpl w:val="F9E8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66E8A"/>
    <w:multiLevelType w:val="multilevel"/>
    <w:tmpl w:val="CD18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783858"/>
    <w:multiLevelType w:val="hybridMultilevel"/>
    <w:tmpl w:val="7494AFCC"/>
    <w:lvl w:ilvl="0" w:tplc="A4E4430C">
      <w:start w:val="1"/>
      <w:numFmt w:val="bullet"/>
      <w:lvlText w:val="•"/>
      <w:lvlJc w:val="left"/>
      <w:pPr>
        <w:tabs>
          <w:tab w:val="num" w:pos="720"/>
        </w:tabs>
        <w:ind w:left="720" w:hanging="360"/>
      </w:pPr>
      <w:rPr>
        <w:rFonts w:ascii="Arial" w:hAnsi="Arial" w:hint="default"/>
      </w:rPr>
    </w:lvl>
    <w:lvl w:ilvl="1" w:tplc="92822CAA">
      <w:numFmt w:val="bullet"/>
      <w:lvlText w:val="•"/>
      <w:lvlJc w:val="left"/>
      <w:pPr>
        <w:tabs>
          <w:tab w:val="num" w:pos="1440"/>
        </w:tabs>
        <w:ind w:left="1440" w:hanging="360"/>
      </w:pPr>
      <w:rPr>
        <w:rFonts w:ascii="Arial" w:hAnsi="Arial" w:hint="default"/>
      </w:rPr>
    </w:lvl>
    <w:lvl w:ilvl="2" w:tplc="C65C4408" w:tentative="1">
      <w:start w:val="1"/>
      <w:numFmt w:val="bullet"/>
      <w:lvlText w:val="•"/>
      <w:lvlJc w:val="left"/>
      <w:pPr>
        <w:tabs>
          <w:tab w:val="num" w:pos="2160"/>
        </w:tabs>
        <w:ind w:left="2160" w:hanging="360"/>
      </w:pPr>
      <w:rPr>
        <w:rFonts w:ascii="Arial" w:hAnsi="Arial" w:hint="default"/>
      </w:rPr>
    </w:lvl>
    <w:lvl w:ilvl="3" w:tplc="3724DF58" w:tentative="1">
      <w:start w:val="1"/>
      <w:numFmt w:val="bullet"/>
      <w:lvlText w:val="•"/>
      <w:lvlJc w:val="left"/>
      <w:pPr>
        <w:tabs>
          <w:tab w:val="num" w:pos="2880"/>
        </w:tabs>
        <w:ind w:left="2880" w:hanging="360"/>
      </w:pPr>
      <w:rPr>
        <w:rFonts w:ascii="Arial" w:hAnsi="Arial" w:hint="default"/>
      </w:rPr>
    </w:lvl>
    <w:lvl w:ilvl="4" w:tplc="DD1AE58A" w:tentative="1">
      <w:start w:val="1"/>
      <w:numFmt w:val="bullet"/>
      <w:lvlText w:val="•"/>
      <w:lvlJc w:val="left"/>
      <w:pPr>
        <w:tabs>
          <w:tab w:val="num" w:pos="3600"/>
        </w:tabs>
        <w:ind w:left="3600" w:hanging="360"/>
      </w:pPr>
      <w:rPr>
        <w:rFonts w:ascii="Arial" w:hAnsi="Arial" w:hint="default"/>
      </w:rPr>
    </w:lvl>
    <w:lvl w:ilvl="5" w:tplc="60540DAC" w:tentative="1">
      <w:start w:val="1"/>
      <w:numFmt w:val="bullet"/>
      <w:lvlText w:val="•"/>
      <w:lvlJc w:val="left"/>
      <w:pPr>
        <w:tabs>
          <w:tab w:val="num" w:pos="4320"/>
        </w:tabs>
        <w:ind w:left="4320" w:hanging="360"/>
      </w:pPr>
      <w:rPr>
        <w:rFonts w:ascii="Arial" w:hAnsi="Arial" w:hint="default"/>
      </w:rPr>
    </w:lvl>
    <w:lvl w:ilvl="6" w:tplc="FB9C2580" w:tentative="1">
      <w:start w:val="1"/>
      <w:numFmt w:val="bullet"/>
      <w:lvlText w:val="•"/>
      <w:lvlJc w:val="left"/>
      <w:pPr>
        <w:tabs>
          <w:tab w:val="num" w:pos="5040"/>
        </w:tabs>
        <w:ind w:left="5040" w:hanging="360"/>
      </w:pPr>
      <w:rPr>
        <w:rFonts w:ascii="Arial" w:hAnsi="Arial" w:hint="default"/>
      </w:rPr>
    </w:lvl>
    <w:lvl w:ilvl="7" w:tplc="E7E27882" w:tentative="1">
      <w:start w:val="1"/>
      <w:numFmt w:val="bullet"/>
      <w:lvlText w:val="•"/>
      <w:lvlJc w:val="left"/>
      <w:pPr>
        <w:tabs>
          <w:tab w:val="num" w:pos="5760"/>
        </w:tabs>
        <w:ind w:left="5760" w:hanging="360"/>
      </w:pPr>
      <w:rPr>
        <w:rFonts w:ascii="Arial" w:hAnsi="Arial" w:hint="default"/>
      </w:rPr>
    </w:lvl>
    <w:lvl w:ilvl="8" w:tplc="73E6D4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CD0AC5"/>
    <w:multiLevelType w:val="hybridMultilevel"/>
    <w:tmpl w:val="9354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44842"/>
    <w:multiLevelType w:val="multilevel"/>
    <w:tmpl w:val="A364D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3211D2"/>
    <w:multiLevelType w:val="multilevel"/>
    <w:tmpl w:val="9190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30551"/>
    <w:multiLevelType w:val="hybridMultilevel"/>
    <w:tmpl w:val="6E20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77B2F"/>
    <w:multiLevelType w:val="hybridMultilevel"/>
    <w:tmpl w:val="A3D4A756"/>
    <w:lvl w:ilvl="0" w:tplc="04090001">
      <w:start w:val="1"/>
      <w:numFmt w:val="bullet"/>
      <w:lvlText w:val=""/>
      <w:lvlJc w:val="left"/>
      <w:pPr>
        <w:ind w:left="720" w:hanging="360"/>
      </w:pPr>
      <w:rPr>
        <w:rFonts w:ascii="Symbol" w:hAnsi="Symbol" w:hint="default"/>
      </w:rPr>
    </w:lvl>
    <w:lvl w:ilvl="1" w:tplc="428A0EF0">
      <w:start w:val="1"/>
      <w:numFmt w:val="bullet"/>
      <w:lvlText w:val="–"/>
      <w:lvlJc w:val="left"/>
      <w:pPr>
        <w:ind w:left="1440" w:hanging="360"/>
      </w:pPr>
      <w:rPr>
        <w:rFonts w:ascii="Calibri" w:hAnsi="Calibri"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2354B"/>
    <w:multiLevelType w:val="multilevel"/>
    <w:tmpl w:val="55D8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061AB"/>
    <w:multiLevelType w:val="hybridMultilevel"/>
    <w:tmpl w:val="7848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D1CFA"/>
    <w:multiLevelType w:val="multilevel"/>
    <w:tmpl w:val="1966BA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573AF0"/>
    <w:multiLevelType w:val="hybridMultilevel"/>
    <w:tmpl w:val="1FA4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29025C"/>
    <w:multiLevelType w:val="hybridMultilevel"/>
    <w:tmpl w:val="7A00D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6D6ED0"/>
    <w:multiLevelType w:val="hybridMultilevel"/>
    <w:tmpl w:val="D9F6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A3F52"/>
    <w:multiLevelType w:val="multilevel"/>
    <w:tmpl w:val="6772DC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ED5409"/>
    <w:multiLevelType w:val="hybridMultilevel"/>
    <w:tmpl w:val="42541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6E1F6E"/>
    <w:multiLevelType w:val="hybridMultilevel"/>
    <w:tmpl w:val="611E3F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777646"/>
    <w:multiLevelType w:val="multilevel"/>
    <w:tmpl w:val="5A8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CC2A8D"/>
    <w:multiLevelType w:val="multilevel"/>
    <w:tmpl w:val="3894E35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9F56E7"/>
    <w:multiLevelType w:val="hybridMultilevel"/>
    <w:tmpl w:val="65FCF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257357"/>
    <w:multiLevelType w:val="multilevel"/>
    <w:tmpl w:val="604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D40F0"/>
    <w:multiLevelType w:val="multilevel"/>
    <w:tmpl w:val="EB223F4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6771EA"/>
    <w:multiLevelType w:val="hybridMultilevel"/>
    <w:tmpl w:val="EF227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A2428C"/>
    <w:multiLevelType w:val="hybridMultilevel"/>
    <w:tmpl w:val="6412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1F82927"/>
    <w:multiLevelType w:val="hybridMultilevel"/>
    <w:tmpl w:val="0B20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5205A"/>
    <w:multiLevelType w:val="hybridMultilevel"/>
    <w:tmpl w:val="CA5A5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8A004C"/>
    <w:multiLevelType w:val="hybridMultilevel"/>
    <w:tmpl w:val="19702E3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44" w15:restartNumberingAfterBreak="0">
    <w:nsid w:val="644D2031"/>
    <w:multiLevelType w:val="hybridMultilevel"/>
    <w:tmpl w:val="FAE0F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9F6586"/>
    <w:multiLevelType w:val="hybridMultilevel"/>
    <w:tmpl w:val="B0F07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C578B4"/>
    <w:multiLevelType w:val="hybridMultilevel"/>
    <w:tmpl w:val="D57C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4B769D"/>
    <w:multiLevelType w:val="hybridMultilevel"/>
    <w:tmpl w:val="906E3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511A1C"/>
    <w:multiLevelType w:val="hybridMultilevel"/>
    <w:tmpl w:val="9490BFBE"/>
    <w:lvl w:ilvl="0" w:tplc="8228BDE4">
      <w:start w:val="1"/>
      <w:numFmt w:val="bullet"/>
      <w:lvlText w:val="•"/>
      <w:lvlJc w:val="left"/>
      <w:pPr>
        <w:tabs>
          <w:tab w:val="num" w:pos="720"/>
        </w:tabs>
        <w:ind w:left="720" w:hanging="360"/>
      </w:pPr>
      <w:rPr>
        <w:rFonts w:ascii="Arial" w:hAnsi="Arial" w:hint="default"/>
      </w:rPr>
    </w:lvl>
    <w:lvl w:ilvl="1" w:tplc="5B0439F0" w:tentative="1">
      <w:start w:val="1"/>
      <w:numFmt w:val="bullet"/>
      <w:lvlText w:val="•"/>
      <w:lvlJc w:val="left"/>
      <w:pPr>
        <w:tabs>
          <w:tab w:val="num" w:pos="1440"/>
        </w:tabs>
        <w:ind w:left="1440" w:hanging="360"/>
      </w:pPr>
      <w:rPr>
        <w:rFonts w:ascii="Arial" w:hAnsi="Arial" w:hint="default"/>
      </w:rPr>
    </w:lvl>
    <w:lvl w:ilvl="2" w:tplc="3E7A4D0E" w:tentative="1">
      <w:start w:val="1"/>
      <w:numFmt w:val="bullet"/>
      <w:lvlText w:val="•"/>
      <w:lvlJc w:val="left"/>
      <w:pPr>
        <w:tabs>
          <w:tab w:val="num" w:pos="2160"/>
        </w:tabs>
        <w:ind w:left="2160" w:hanging="360"/>
      </w:pPr>
      <w:rPr>
        <w:rFonts w:ascii="Arial" w:hAnsi="Arial" w:hint="default"/>
      </w:rPr>
    </w:lvl>
    <w:lvl w:ilvl="3" w:tplc="808275CA" w:tentative="1">
      <w:start w:val="1"/>
      <w:numFmt w:val="bullet"/>
      <w:lvlText w:val="•"/>
      <w:lvlJc w:val="left"/>
      <w:pPr>
        <w:tabs>
          <w:tab w:val="num" w:pos="2880"/>
        </w:tabs>
        <w:ind w:left="2880" w:hanging="360"/>
      </w:pPr>
      <w:rPr>
        <w:rFonts w:ascii="Arial" w:hAnsi="Arial" w:hint="default"/>
      </w:rPr>
    </w:lvl>
    <w:lvl w:ilvl="4" w:tplc="2C3EA440" w:tentative="1">
      <w:start w:val="1"/>
      <w:numFmt w:val="bullet"/>
      <w:lvlText w:val="•"/>
      <w:lvlJc w:val="left"/>
      <w:pPr>
        <w:tabs>
          <w:tab w:val="num" w:pos="3600"/>
        </w:tabs>
        <w:ind w:left="3600" w:hanging="360"/>
      </w:pPr>
      <w:rPr>
        <w:rFonts w:ascii="Arial" w:hAnsi="Arial" w:hint="default"/>
      </w:rPr>
    </w:lvl>
    <w:lvl w:ilvl="5" w:tplc="97FAC248" w:tentative="1">
      <w:start w:val="1"/>
      <w:numFmt w:val="bullet"/>
      <w:lvlText w:val="•"/>
      <w:lvlJc w:val="left"/>
      <w:pPr>
        <w:tabs>
          <w:tab w:val="num" w:pos="4320"/>
        </w:tabs>
        <w:ind w:left="4320" w:hanging="360"/>
      </w:pPr>
      <w:rPr>
        <w:rFonts w:ascii="Arial" w:hAnsi="Arial" w:hint="default"/>
      </w:rPr>
    </w:lvl>
    <w:lvl w:ilvl="6" w:tplc="BE9617B2" w:tentative="1">
      <w:start w:val="1"/>
      <w:numFmt w:val="bullet"/>
      <w:lvlText w:val="•"/>
      <w:lvlJc w:val="left"/>
      <w:pPr>
        <w:tabs>
          <w:tab w:val="num" w:pos="5040"/>
        </w:tabs>
        <w:ind w:left="5040" w:hanging="360"/>
      </w:pPr>
      <w:rPr>
        <w:rFonts w:ascii="Arial" w:hAnsi="Arial" w:hint="default"/>
      </w:rPr>
    </w:lvl>
    <w:lvl w:ilvl="7" w:tplc="5A6A0020" w:tentative="1">
      <w:start w:val="1"/>
      <w:numFmt w:val="bullet"/>
      <w:lvlText w:val="•"/>
      <w:lvlJc w:val="left"/>
      <w:pPr>
        <w:tabs>
          <w:tab w:val="num" w:pos="5760"/>
        </w:tabs>
        <w:ind w:left="5760" w:hanging="360"/>
      </w:pPr>
      <w:rPr>
        <w:rFonts w:ascii="Arial" w:hAnsi="Arial" w:hint="default"/>
      </w:rPr>
    </w:lvl>
    <w:lvl w:ilvl="8" w:tplc="2308537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8B2445"/>
    <w:multiLevelType w:val="multilevel"/>
    <w:tmpl w:val="4978E9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D16381"/>
    <w:multiLevelType w:val="hybridMultilevel"/>
    <w:tmpl w:val="D91A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64066B"/>
    <w:multiLevelType w:val="hybridMultilevel"/>
    <w:tmpl w:val="B3F8A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259714">
    <w:abstractNumId w:val="0"/>
  </w:num>
  <w:num w:numId="2" w16cid:durableId="286086363">
    <w:abstractNumId w:val="29"/>
  </w:num>
  <w:num w:numId="3" w16cid:durableId="1109424258">
    <w:abstractNumId w:val="44"/>
  </w:num>
  <w:num w:numId="4" w16cid:durableId="1240597370">
    <w:abstractNumId w:val="43"/>
  </w:num>
  <w:num w:numId="5" w16cid:durableId="1636250289">
    <w:abstractNumId w:val="45"/>
  </w:num>
  <w:num w:numId="6" w16cid:durableId="1182352763">
    <w:abstractNumId w:val="32"/>
  </w:num>
  <w:num w:numId="7" w16cid:durableId="283289">
    <w:abstractNumId w:val="40"/>
  </w:num>
  <w:num w:numId="8" w16cid:durableId="490104423">
    <w:abstractNumId w:val="50"/>
  </w:num>
  <w:num w:numId="9" w16cid:durableId="2131240607">
    <w:abstractNumId w:val="39"/>
  </w:num>
  <w:num w:numId="10" w16cid:durableId="1059982275">
    <w:abstractNumId w:val="24"/>
  </w:num>
  <w:num w:numId="11" w16cid:durableId="1493713182">
    <w:abstractNumId w:val="28"/>
  </w:num>
  <w:num w:numId="12" w16cid:durableId="1111898765">
    <w:abstractNumId w:val="26"/>
  </w:num>
  <w:num w:numId="13" w16cid:durableId="169100896">
    <w:abstractNumId w:val="49"/>
  </w:num>
  <w:num w:numId="14" w16cid:durableId="372197016">
    <w:abstractNumId w:val="5"/>
  </w:num>
  <w:num w:numId="15" w16cid:durableId="625887721">
    <w:abstractNumId w:val="38"/>
  </w:num>
  <w:num w:numId="16" w16cid:durableId="1745298884">
    <w:abstractNumId w:val="21"/>
  </w:num>
  <w:num w:numId="17" w16cid:durableId="1164777779">
    <w:abstractNumId w:val="31"/>
  </w:num>
  <w:num w:numId="18" w16cid:durableId="124660560">
    <w:abstractNumId w:val="35"/>
  </w:num>
  <w:num w:numId="19" w16cid:durableId="1510681673">
    <w:abstractNumId w:val="3"/>
  </w:num>
  <w:num w:numId="20" w16cid:durableId="1565724690">
    <w:abstractNumId w:val="27"/>
  </w:num>
  <w:num w:numId="21" w16cid:durableId="1248540366">
    <w:abstractNumId w:val="34"/>
  </w:num>
  <w:num w:numId="22" w16cid:durableId="786194691">
    <w:abstractNumId w:val="37"/>
  </w:num>
  <w:num w:numId="23" w16cid:durableId="177351643">
    <w:abstractNumId w:val="13"/>
  </w:num>
  <w:num w:numId="24" w16cid:durableId="697704498">
    <w:abstractNumId w:val="18"/>
  </w:num>
  <w:num w:numId="25" w16cid:durableId="1526672856">
    <w:abstractNumId w:val="16"/>
  </w:num>
  <w:num w:numId="26" w16cid:durableId="79176537">
    <w:abstractNumId w:val="10"/>
  </w:num>
  <w:num w:numId="27" w16cid:durableId="1019623768">
    <w:abstractNumId w:val="22"/>
  </w:num>
  <w:num w:numId="28" w16cid:durableId="445196728">
    <w:abstractNumId w:val="2"/>
  </w:num>
  <w:num w:numId="29" w16cid:durableId="874540513">
    <w:abstractNumId w:val="25"/>
  </w:num>
  <w:num w:numId="30" w16cid:durableId="295992527">
    <w:abstractNumId w:val="17"/>
  </w:num>
  <w:num w:numId="31" w16cid:durableId="220748591">
    <w:abstractNumId w:val="19"/>
  </w:num>
  <w:num w:numId="32" w16cid:durableId="1268274178">
    <w:abstractNumId w:val="48"/>
  </w:num>
  <w:num w:numId="33" w16cid:durableId="795299850">
    <w:abstractNumId w:val="33"/>
  </w:num>
  <w:num w:numId="34" w16cid:durableId="891111669">
    <w:abstractNumId w:val="11"/>
  </w:num>
  <w:num w:numId="35" w16cid:durableId="1113788233">
    <w:abstractNumId w:val="1"/>
  </w:num>
  <w:num w:numId="36" w16cid:durableId="1456027590">
    <w:abstractNumId w:val="41"/>
  </w:num>
  <w:num w:numId="37" w16cid:durableId="2002615058">
    <w:abstractNumId w:val="20"/>
  </w:num>
  <w:num w:numId="38" w16cid:durableId="187917161">
    <w:abstractNumId w:val="4"/>
  </w:num>
  <w:num w:numId="39" w16cid:durableId="757604864">
    <w:abstractNumId w:val="14"/>
  </w:num>
  <w:num w:numId="40" w16cid:durableId="728572590">
    <w:abstractNumId w:val="8"/>
  </w:num>
  <w:num w:numId="41" w16cid:durableId="1094547429">
    <w:abstractNumId w:val="6"/>
  </w:num>
  <w:num w:numId="42" w16cid:durableId="757797261">
    <w:abstractNumId w:val="46"/>
  </w:num>
  <w:num w:numId="43" w16cid:durableId="1610812922">
    <w:abstractNumId w:val="36"/>
  </w:num>
  <w:num w:numId="44" w16cid:durableId="1631285829">
    <w:abstractNumId w:val="12"/>
  </w:num>
  <w:num w:numId="45" w16cid:durableId="387076720">
    <w:abstractNumId w:val="30"/>
  </w:num>
  <w:num w:numId="46" w16cid:durableId="852694287">
    <w:abstractNumId w:val="9"/>
  </w:num>
  <w:num w:numId="47" w16cid:durableId="574709496">
    <w:abstractNumId w:val="15"/>
  </w:num>
  <w:num w:numId="48" w16cid:durableId="352270769">
    <w:abstractNumId w:val="47"/>
  </w:num>
  <w:num w:numId="49" w16cid:durableId="415054196">
    <w:abstractNumId w:val="42"/>
  </w:num>
  <w:num w:numId="50" w16cid:durableId="1653101577">
    <w:abstractNumId w:val="7"/>
  </w:num>
  <w:num w:numId="51" w16cid:durableId="551045205">
    <w:abstractNumId w:val="23"/>
  </w:num>
  <w:num w:numId="52" w16cid:durableId="779757616">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D8"/>
    <w:rsid w:val="00006D5F"/>
    <w:rsid w:val="0001082F"/>
    <w:rsid w:val="00010BF1"/>
    <w:rsid w:val="00014D03"/>
    <w:rsid w:val="0002018B"/>
    <w:rsid w:val="00020D36"/>
    <w:rsid w:val="000219E6"/>
    <w:rsid w:val="00021D0F"/>
    <w:rsid w:val="0002618E"/>
    <w:rsid w:val="000310DB"/>
    <w:rsid w:val="00034611"/>
    <w:rsid w:val="0003724C"/>
    <w:rsid w:val="00060E11"/>
    <w:rsid w:val="000730D6"/>
    <w:rsid w:val="00073531"/>
    <w:rsid w:val="000735B0"/>
    <w:rsid w:val="000744D4"/>
    <w:rsid w:val="000751F6"/>
    <w:rsid w:val="00076160"/>
    <w:rsid w:val="00076CAA"/>
    <w:rsid w:val="00082514"/>
    <w:rsid w:val="00083BEF"/>
    <w:rsid w:val="00083D9F"/>
    <w:rsid w:val="00086F09"/>
    <w:rsid w:val="000911ED"/>
    <w:rsid w:val="000A07BE"/>
    <w:rsid w:val="000A1775"/>
    <w:rsid w:val="000A29E7"/>
    <w:rsid w:val="000A3F69"/>
    <w:rsid w:val="000A582C"/>
    <w:rsid w:val="000C5105"/>
    <w:rsid w:val="000C6909"/>
    <w:rsid w:val="000D0C62"/>
    <w:rsid w:val="000D3A61"/>
    <w:rsid w:val="000D3F53"/>
    <w:rsid w:val="000E001B"/>
    <w:rsid w:val="000E3636"/>
    <w:rsid w:val="000E394A"/>
    <w:rsid w:val="000E501E"/>
    <w:rsid w:val="000F1819"/>
    <w:rsid w:val="000F1DAE"/>
    <w:rsid w:val="000F249A"/>
    <w:rsid w:val="000F591C"/>
    <w:rsid w:val="00104A89"/>
    <w:rsid w:val="00110C1E"/>
    <w:rsid w:val="00113FA2"/>
    <w:rsid w:val="00121960"/>
    <w:rsid w:val="00121EAD"/>
    <w:rsid w:val="0012561E"/>
    <w:rsid w:val="001302B2"/>
    <w:rsid w:val="001328E0"/>
    <w:rsid w:val="0013319A"/>
    <w:rsid w:val="0013469D"/>
    <w:rsid w:val="00136BA5"/>
    <w:rsid w:val="00144440"/>
    <w:rsid w:val="00144BAE"/>
    <w:rsid w:val="00145BC6"/>
    <w:rsid w:val="00153902"/>
    <w:rsid w:val="0015581C"/>
    <w:rsid w:val="00160BD8"/>
    <w:rsid w:val="00165CF6"/>
    <w:rsid w:val="001679F4"/>
    <w:rsid w:val="00171BE5"/>
    <w:rsid w:val="00183BDA"/>
    <w:rsid w:val="00186C95"/>
    <w:rsid w:val="00187D55"/>
    <w:rsid w:val="001929E7"/>
    <w:rsid w:val="001932D4"/>
    <w:rsid w:val="001B0932"/>
    <w:rsid w:val="001B1275"/>
    <w:rsid w:val="001B4A4E"/>
    <w:rsid w:val="001B5581"/>
    <w:rsid w:val="001C0904"/>
    <w:rsid w:val="001C4531"/>
    <w:rsid w:val="001D55DA"/>
    <w:rsid w:val="001D6EE7"/>
    <w:rsid w:val="001D75D0"/>
    <w:rsid w:val="001F08C3"/>
    <w:rsid w:val="001F50D3"/>
    <w:rsid w:val="001F57C4"/>
    <w:rsid w:val="001F72CD"/>
    <w:rsid w:val="002001A5"/>
    <w:rsid w:val="00203005"/>
    <w:rsid w:val="00205970"/>
    <w:rsid w:val="002060EB"/>
    <w:rsid w:val="0020704F"/>
    <w:rsid w:val="00207BE5"/>
    <w:rsid w:val="00207EC5"/>
    <w:rsid w:val="00210B65"/>
    <w:rsid w:val="002202A4"/>
    <w:rsid w:val="00234452"/>
    <w:rsid w:val="00240CC9"/>
    <w:rsid w:val="00244209"/>
    <w:rsid w:val="00247F7D"/>
    <w:rsid w:val="0025072B"/>
    <w:rsid w:val="00251E40"/>
    <w:rsid w:val="00256679"/>
    <w:rsid w:val="00257CA6"/>
    <w:rsid w:val="0026003C"/>
    <w:rsid w:val="00270E8D"/>
    <w:rsid w:val="00277B43"/>
    <w:rsid w:val="002804D6"/>
    <w:rsid w:val="00283290"/>
    <w:rsid w:val="002849B0"/>
    <w:rsid w:val="002863EF"/>
    <w:rsid w:val="0029050C"/>
    <w:rsid w:val="002A40D1"/>
    <w:rsid w:val="002A7DF8"/>
    <w:rsid w:val="002B0ED1"/>
    <w:rsid w:val="002B30F7"/>
    <w:rsid w:val="002C15CB"/>
    <w:rsid w:val="002C1B2D"/>
    <w:rsid w:val="002C401E"/>
    <w:rsid w:val="002C48C2"/>
    <w:rsid w:val="002C5DF1"/>
    <w:rsid w:val="002D1083"/>
    <w:rsid w:val="002D13BF"/>
    <w:rsid w:val="002D2AB7"/>
    <w:rsid w:val="002D7593"/>
    <w:rsid w:val="002E00E1"/>
    <w:rsid w:val="002E3C8B"/>
    <w:rsid w:val="002E4027"/>
    <w:rsid w:val="002E7089"/>
    <w:rsid w:val="002E7625"/>
    <w:rsid w:val="002F13B5"/>
    <w:rsid w:val="002F22F6"/>
    <w:rsid w:val="002F6F08"/>
    <w:rsid w:val="002F7ACC"/>
    <w:rsid w:val="00304B44"/>
    <w:rsid w:val="00320B94"/>
    <w:rsid w:val="00321AE3"/>
    <w:rsid w:val="00322AB8"/>
    <w:rsid w:val="00325E9B"/>
    <w:rsid w:val="00332EDD"/>
    <w:rsid w:val="00333C78"/>
    <w:rsid w:val="003359AE"/>
    <w:rsid w:val="003415B7"/>
    <w:rsid w:val="0034188E"/>
    <w:rsid w:val="003425F5"/>
    <w:rsid w:val="0034413A"/>
    <w:rsid w:val="0034455A"/>
    <w:rsid w:val="00345FE7"/>
    <w:rsid w:val="00352103"/>
    <w:rsid w:val="003556C3"/>
    <w:rsid w:val="00357BAC"/>
    <w:rsid w:val="00381E06"/>
    <w:rsid w:val="00381FDF"/>
    <w:rsid w:val="003838D1"/>
    <w:rsid w:val="00383AD6"/>
    <w:rsid w:val="003876BF"/>
    <w:rsid w:val="00387EED"/>
    <w:rsid w:val="003B47D5"/>
    <w:rsid w:val="003B61BF"/>
    <w:rsid w:val="003C2598"/>
    <w:rsid w:val="003C5D03"/>
    <w:rsid w:val="003D40F1"/>
    <w:rsid w:val="003D62CB"/>
    <w:rsid w:val="003F279E"/>
    <w:rsid w:val="00402694"/>
    <w:rsid w:val="00404E92"/>
    <w:rsid w:val="004072C9"/>
    <w:rsid w:val="00410729"/>
    <w:rsid w:val="004150DA"/>
    <w:rsid w:val="0042443C"/>
    <w:rsid w:val="00431E54"/>
    <w:rsid w:val="00432F8F"/>
    <w:rsid w:val="00433B13"/>
    <w:rsid w:val="00436F06"/>
    <w:rsid w:val="00437D03"/>
    <w:rsid w:val="004403D9"/>
    <w:rsid w:val="00445F4B"/>
    <w:rsid w:val="00446909"/>
    <w:rsid w:val="00453D13"/>
    <w:rsid w:val="0046561A"/>
    <w:rsid w:val="00471DC7"/>
    <w:rsid w:val="00474C6C"/>
    <w:rsid w:val="00475942"/>
    <w:rsid w:val="0048290E"/>
    <w:rsid w:val="00493A4A"/>
    <w:rsid w:val="004947DF"/>
    <w:rsid w:val="004A0938"/>
    <w:rsid w:val="004A15CA"/>
    <w:rsid w:val="004A514E"/>
    <w:rsid w:val="004B0AF7"/>
    <w:rsid w:val="004B1827"/>
    <w:rsid w:val="004B19E5"/>
    <w:rsid w:val="004B4CB3"/>
    <w:rsid w:val="004B76DD"/>
    <w:rsid w:val="004C067D"/>
    <w:rsid w:val="004C6B42"/>
    <w:rsid w:val="004D6BB6"/>
    <w:rsid w:val="004E2C07"/>
    <w:rsid w:val="004E4D75"/>
    <w:rsid w:val="004E6E29"/>
    <w:rsid w:val="004F6F74"/>
    <w:rsid w:val="005017BC"/>
    <w:rsid w:val="0052125A"/>
    <w:rsid w:val="00525ECA"/>
    <w:rsid w:val="0052659F"/>
    <w:rsid w:val="00530CE8"/>
    <w:rsid w:val="00530F45"/>
    <w:rsid w:val="00532090"/>
    <w:rsid w:val="00534DE8"/>
    <w:rsid w:val="00547894"/>
    <w:rsid w:val="00551837"/>
    <w:rsid w:val="0055263E"/>
    <w:rsid w:val="0056123E"/>
    <w:rsid w:val="005668C8"/>
    <w:rsid w:val="00571F14"/>
    <w:rsid w:val="00576AB5"/>
    <w:rsid w:val="00582358"/>
    <w:rsid w:val="00585708"/>
    <w:rsid w:val="00586126"/>
    <w:rsid w:val="00586963"/>
    <w:rsid w:val="00591565"/>
    <w:rsid w:val="005A5D50"/>
    <w:rsid w:val="005A641F"/>
    <w:rsid w:val="005C54B5"/>
    <w:rsid w:val="005C5D1E"/>
    <w:rsid w:val="005E0661"/>
    <w:rsid w:val="005E0D8A"/>
    <w:rsid w:val="005E3F23"/>
    <w:rsid w:val="005F005A"/>
    <w:rsid w:val="005F18EA"/>
    <w:rsid w:val="005F2107"/>
    <w:rsid w:val="005F35F4"/>
    <w:rsid w:val="005F5FCB"/>
    <w:rsid w:val="005F6D65"/>
    <w:rsid w:val="006013DB"/>
    <w:rsid w:val="006037F7"/>
    <w:rsid w:val="00611BA2"/>
    <w:rsid w:val="006127A2"/>
    <w:rsid w:val="00615567"/>
    <w:rsid w:val="00621089"/>
    <w:rsid w:val="006213C7"/>
    <w:rsid w:val="006216E1"/>
    <w:rsid w:val="006253E1"/>
    <w:rsid w:val="00625BF7"/>
    <w:rsid w:val="00636971"/>
    <w:rsid w:val="00637FC7"/>
    <w:rsid w:val="00661859"/>
    <w:rsid w:val="00661EA2"/>
    <w:rsid w:val="0067384E"/>
    <w:rsid w:val="00682814"/>
    <w:rsid w:val="00682CDF"/>
    <w:rsid w:val="006858E0"/>
    <w:rsid w:val="00685BEA"/>
    <w:rsid w:val="006939C0"/>
    <w:rsid w:val="00693EBE"/>
    <w:rsid w:val="006A70B8"/>
    <w:rsid w:val="006B44BF"/>
    <w:rsid w:val="006B4B16"/>
    <w:rsid w:val="006C070D"/>
    <w:rsid w:val="006C6248"/>
    <w:rsid w:val="006C6E9B"/>
    <w:rsid w:val="006C76C4"/>
    <w:rsid w:val="006D225B"/>
    <w:rsid w:val="006D6220"/>
    <w:rsid w:val="006E7B20"/>
    <w:rsid w:val="006F3930"/>
    <w:rsid w:val="006F4CB2"/>
    <w:rsid w:val="006F5654"/>
    <w:rsid w:val="006F72B5"/>
    <w:rsid w:val="00700F92"/>
    <w:rsid w:val="007010CE"/>
    <w:rsid w:val="0070292A"/>
    <w:rsid w:val="0070667E"/>
    <w:rsid w:val="00710F6E"/>
    <w:rsid w:val="00712B3C"/>
    <w:rsid w:val="00716B6B"/>
    <w:rsid w:val="00724600"/>
    <w:rsid w:val="00735643"/>
    <w:rsid w:val="0074408C"/>
    <w:rsid w:val="007447A4"/>
    <w:rsid w:val="00746FF0"/>
    <w:rsid w:val="0075105A"/>
    <w:rsid w:val="0075615F"/>
    <w:rsid w:val="00760B31"/>
    <w:rsid w:val="0076109B"/>
    <w:rsid w:val="00762E5F"/>
    <w:rsid w:val="00763A38"/>
    <w:rsid w:val="00770381"/>
    <w:rsid w:val="00784961"/>
    <w:rsid w:val="0078566B"/>
    <w:rsid w:val="00787279"/>
    <w:rsid w:val="00787F2B"/>
    <w:rsid w:val="00790B27"/>
    <w:rsid w:val="00791C96"/>
    <w:rsid w:val="00792D4B"/>
    <w:rsid w:val="00795616"/>
    <w:rsid w:val="00795BF4"/>
    <w:rsid w:val="007A6D7A"/>
    <w:rsid w:val="007B153A"/>
    <w:rsid w:val="007B6CEE"/>
    <w:rsid w:val="007C3914"/>
    <w:rsid w:val="007D2909"/>
    <w:rsid w:val="007E4186"/>
    <w:rsid w:val="007E7B41"/>
    <w:rsid w:val="007F0042"/>
    <w:rsid w:val="007F13C6"/>
    <w:rsid w:val="007F41D2"/>
    <w:rsid w:val="007F62A6"/>
    <w:rsid w:val="00802A80"/>
    <w:rsid w:val="00805BC5"/>
    <w:rsid w:val="008074E8"/>
    <w:rsid w:val="00814C1A"/>
    <w:rsid w:val="00821B42"/>
    <w:rsid w:val="008340F1"/>
    <w:rsid w:val="00844F7A"/>
    <w:rsid w:val="00845866"/>
    <w:rsid w:val="0084715D"/>
    <w:rsid w:val="00853B03"/>
    <w:rsid w:val="00860C4F"/>
    <w:rsid w:val="00871C35"/>
    <w:rsid w:val="00880868"/>
    <w:rsid w:val="0088300D"/>
    <w:rsid w:val="008840AC"/>
    <w:rsid w:val="0088557C"/>
    <w:rsid w:val="00894E51"/>
    <w:rsid w:val="00895CDF"/>
    <w:rsid w:val="00897233"/>
    <w:rsid w:val="008C37F0"/>
    <w:rsid w:val="008C4A44"/>
    <w:rsid w:val="008D2F69"/>
    <w:rsid w:val="008D321A"/>
    <w:rsid w:val="008D7C87"/>
    <w:rsid w:val="008E7EC0"/>
    <w:rsid w:val="008F0CA6"/>
    <w:rsid w:val="008F1F76"/>
    <w:rsid w:val="008F2705"/>
    <w:rsid w:val="00903A78"/>
    <w:rsid w:val="009113A5"/>
    <w:rsid w:val="0092185C"/>
    <w:rsid w:val="00926BA6"/>
    <w:rsid w:val="00933387"/>
    <w:rsid w:val="00943022"/>
    <w:rsid w:val="0094789A"/>
    <w:rsid w:val="00947C12"/>
    <w:rsid w:val="00950588"/>
    <w:rsid w:val="00955467"/>
    <w:rsid w:val="00955A3E"/>
    <w:rsid w:val="00957279"/>
    <w:rsid w:val="009644DC"/>
    <w:rsid w:val="00964B95"/>
    <w:rsid w:val="009653FD"/>
    <w:rsid w:val="00972134"/>
    <w:rsid w:val="009744F7"/>
    <w:rsid w:val="00975FA5"/>
    <w:rsid w:val="00976904"/>
    <w:rsid w:val="009813AA"/>
    <w:rsid w:val="0098499A"/>
    <w:rsid w:val="00984AB3"/>
    <w:rsid w:val="00987075"/>
    <w:rsid w:val="0099452E"/>
    <w:rsid w:val="009A3D17"/>
    <w:rsid w:val="009A3E75"/>
    <w:rsid w:val="009A43C9"/>
    <w:rsid w:val="009A6370"/>
    <w:rsid w:val="009A79A9"/>
    <w:rsid w:val="009B367C"/>
    <w:rsid w:val="009C3D00"/>
    <w:rsid w:val="009C6F0D"/>
    <w:rsid w:val="009D029B"/>
    <w:rsid w:val="009D0883"/>
    <w:rsid w:val="009D1BDF"/>
    <w:rsid w:val="009D2600"/>
    <w:rsid w:val="009D6CF9"/>
    <w:rsid w:val="009E2598"/>
    <w:rsid w:val="009E3953"/>
    <w:rsid w:val="009E501B"/>
    <w:rsid w:val="009E513F"/>
    <w:rsid w:val="009F503B"/>
    <w:rsid w:val="00A107EF"/>
    <w:rsid w:val="00A12ECA"/>
    <w:rsid w:val="00A139AC"/>
    <w:rsid w:val="00A14118"/>
    <w:rsid w:val="00A2023A"/>
    <w:rsid w:val="00A325D5"/>
    <w:rsid w:val="00A32C78"/>
    <w:rsid w:val="00A33351"/>
    <w:rsid w:val="00A4576D"/>
    <w:rsid w:val="00A51CB8"/>
    <w:rsid w:val="00A52361"/>
    <w:rsid w:val="00A5574C"/>
    <w:rsid w:val="00A61E5B"/>
    <w:rsid w:val="00A65D37"/>
    <w:rsid w:val="00A71FDB"/>
    <w:rsid w:val="00A83D43"/>
    <w:rsid w:val="00A879FA"/>
    <w:rsid w:val="00A90CE8"/>
    <w:rsid w:val="00AA1084"/>
    <w:rsid w:val="00AA21A2"/>
    <w:rsid w:val="00AA3DD2"/>
    <w:rsid w:val="00AB6EC0"/>
    <w:rsid w:val="00AC1BA5"/>
    <w:rsid w:val="00AC4A64"/>
    <w:rsid w:val="00AD154C"/>
    <w:rsid w:val="00AD66A3"/>
    <w:rsid w:val="00AE05FB"/>
    <w:rsid w:val="00AE152C"/>
    <w:rsid w:val="00AE3245"/>
    <w:rsid w:val="00AF0BEC"/>
    <w:rsid w:val="00AF1434"/>
    <w:rsid w:val="00AF1B6B"/>
    <w:rsid w:val="00AF239D"/>
    <w:rsid w:val="00AF3A52"/>
    <w:rsid w:val="00AF7696"/>
    <w:rsid w:val="00B1015E"/>
    <w:rsid w:val="00B13823"/>
    <w:rsid w:val="00B14625"/>
    <w:rsid w:val="00B218C0"/>
    <w:rsid w:val="00B30D3D"/>
    <w:rsid w:val="00B3133B"/>
    <w:rsid w:val="00B32CB7"/>
    <w:rsid w:val="00B40400"/>
    <w:rsid w:val="00B40D32"/>
    <w:rsid w:val="00B45019"/>
    <w:rsid w:val="00B45361"/>
    <w:rsid w:val="00B477B7"/>
    <w:rsid w:val="00B515C3"/>
    <w:rsid w:val="00B537C3"/>
    <w:rsid w:val="00B56B40"/>
    <w:rsid w:val="00B6391B"/>
    <w:rsid w:val="00B63A17"/>
    <w:rsid w:val="00B7097A"/>
    <w:rsid w:val="00B7105B"/>
    <w:rsid w:val="00B716A7"/>
    <w:rsid w:val="00B75EEF"/>
    <w:rsid w:val="00B7736E"/>
    <w:rsid w:val="00B82883"/>
    <w:rsid w:val="00B9054C"/>
    <w:rsid w:val="00B929F5"/>
    <w:rsid w:val="00B95FFA"/>
    <w:rsid w:val="00B97201"/>
    <w:rsid w:val="00BA37DF"/>
    <w:rsid w:val="00BB196C"/>
    <w:rsid w:val="00BB3CE7"/>
    <w:rsid w:val="00BB418E"/>
    <w:rsid w:val="00BC33DC"/>
    <w:rsid w:val="00BC564D"/>
    <w:rsid w:val="00BC6933"/>
    <w:rsid w:val="00BD4CD9"/>
    <w:rsid w:val="00BD5DFE"/>
    <w:rsid w:val="00BE12D4"/>
    <w:rsid w:val="00BE4161"/>
    <w:rsid w:val="00BF10E9"/>
    <w:rsid w:val="00BF3E98"/>
    <w:rsid w:val="00BF49E7"/>
    <w:rsid w:val="00C00AD5"/>
    <w:rsid w:val="00C043B0"/>
    <w:rsid w:val="00C10A90"/>
    <w:rsid w:val="00C22054"/>
    <w:rsid w:val="00C2613A"/>
    <w:rsid w:val="00C34229"/>
    <w:rsid w:val="00C34583"/>
    <w:rsid w:val="00C3765A"/>
    <w:rsid w:val="00C41F11"/>
    <w:rsid w:val="00C42E8D"/>
    <w:rsid w:val="00C448DB"/>
    <w:rsid w:val="00C4503F"/>
    <w:rsid w:val="00C5117B"/>
    <w:rsid w:val="00C5482B"/>
    <w:rsid w:val="00C55531"/>
    <w:rsid w:val="00C558A3"/>
    <w:rsid w:val="00C57966"/>
    <w:rsid w:val="00C63693"/>
    <w:rsid w:val="00C65117"/>
    <w:rsid w:val="00C65412"/>
    <w:rsid w:val="00C654EF"/>
    <w:rsid w:val="00C65D07"/>
    <w:rsid w:val="00C65F29"/>
    <w:rsid w:val="00C709BA"/>
    <w:rsid w:val="00C71635"/>
    <w:rsid w:val="00C77314"/>
    <w:rsid w:val="00C7737A"/>
    <w:rsid w:val="00C813EF"/>
    <w:rsid w:val="00C82160"/>
    <w:rsid w:val="00C86F8B"/>
    <w:rsid w:val="00C900F3"/>
    <w:rsid w:val="00C938CF"/>
    <w:rsid w:val="00C95C79"/>
    <w:rsid w:val="00CA310F"/>
    <w:rsid w:val="00CC49A7"/>
    <w:rsid w:val="00CD3D15"/>
    <w:rsid w:val="00CD5394"/>
    <w:rsid w:val="00CD6E98"/>
    <w:rsid w:val="00CE5343"/>
    <w:rsid w:val="00CE5A60"/>
    <w:rsid w:val="00CE6D03"/>
    <w:rsid w:val="00CF5E59"/>
    <w:rsid w:val="00CF6992"/>
    <w:rsid w:val="00D03463"/>
    <w:rsid w:val="00D0462E"/>
    <w:rsid w:val="00D15BE7"/>
    <w:rsid w:val="00D2362C"/>
    <w:rsid w:val="00D33D84"/>
    <w:rsid w:val="00D512E0"/>
    <w:rsid w:val="00D5173E"/>
    <w:rsid w:val="00D60B2E"/>
    <w:rsid w:val="00D63268"/>
    <w:rsid w:val="00D668DA"/>
    <w:rsid w:val="00D75D83"/>
    <w:rsid w:val="00D76C90"/>
    <w:rsid w:val="00D90E7F"/>
    <w:rsid w:val="00D95947"/>
    <w:rsid w:val="00DA5BA2"/>
    <w:rsid w:val="00DB14BD"/>
    <w:rsid w:val="00DB3EA8"/>
    <w:rsid w:val="00DB4BDE"/>
    <w:rsid w:val="00DB64EB"/>
    <w:rsid w:val="00DC3648"/>
    <w:rsid w:val="00DE213D"/>
    <w:rsid w:val="00DE3A44"/>
    <w:rsid w:val="00DE4271"/>
    <w:rsid w:val="00DE4EC2"/>
    <w:rsid w:val="00DE5AA6"/>
    <w:rsid w:val="00DE5FD7"/>
    <w:rsid w:val="00DF0667"/>
    <w:rsid w:val="00DF185E"/>
    <w:rsid w:val="00DF42EB"/>
    <w:rsid w:val="00E039DD"/>
    <w:rsid w:val="00E03F7F"/>
    <w:rsid w:val="00E05567"/>
    <w:rsid w:val="00E15C06"/>
    <w:rsid w:val="00E26C86"/>
    <w:rsid w:val="00E37D7F"/>
    <w:rsid w:val="00E41383"/>
    <w:rsid w:val="00E41A40"/>
    <w:rsid w:val="00E472C1"/>
    <w:rsid w:val="00E502E8"/>
    <w:rsid w:val="00E53846"/>
    <w:rsid w:val="00E60AD8"/>
    <w:rsid w:val="00E60E3A"/>
    <w:rsid w:val="00E6289C"/>
    <w:rsid w:val="00E65A7B"/>
    <w:rsid w:val="00EA232F"/>
    <w:rsid w:val="00EB5042"/>
    <w:rsid w:val="00EC78BB"/>
    <w:rsid w:val="00ED5867"/>
    <w:rsid w:val="00EE4290"/>
    <w:rsid w:val="00EE503F"/>
    <w:rsid w:val="00EE7194"/>
    <w:rsid w:val="00EE7616"/>
    <w:rsid w:val="00EF4FD1"/>
    <w:rsid w:val="00EF5B27"/>
    <w:rsid w:val="00EF68B4"/>
    <w:rsid w:val="00F01656"/>
    <w:rsid w:val="00F01A56"/>
    <w:rsid w:val="00F0507D"/>
    <w:rsid w:val="00F11652"/>
    <w:rsid w:val="00F14B1C"/>
    <w:rsid w:val="00F15B81"/>
    <w:rsid w:val="00F17022"/>
    <w:rsid w:val="00F17058"/>
    <w:rsid w:val="00F23DC4"/>
    <w:rsid w:val="00F250E6"/>
    <w:rsid w:val="00F27809"/>
    <w:rsid w:val="00F2791C"/>
    <w:rsid w:val="00F3195F"/>
    <w:rsid w:val="00F3327D"/>
    <w:rsid w:val="00F34885"/>
    <w:rsid w:val="00F414AC"/>
    <w:rsid w:val="00F5287A"/>
    <w:rsid w:val="00F53082"/>
    <w:rsid w:val="00F53382"/>
    <w:rsid w:val="00F57004"/>
    <w:rsid w:val="00F607BF"/>
    <w:rsid w:val="00F616C7"/>
    <w:rsid w:val="00F62624"/>
    <w:rsid w:val="00F64546"/>
    <w:rsid w:val="00F85B50"/>
    <w:rsid w:val="00F86F11"/>
    <w:rsid w:val="00F90765"/>
    <w:rsid w:val="00F91A36"/>
    <w:rsid w:val="00F94832"/>
    <w:rsid w:val="00F970B4"/>
    <w:rsid w:val="00FA3EE7"/>
    <w:rsid w:val="00FA594A"/>
    <w:rsid w:val="00FA63B0"/>
    <w:rsid w:val="00FB4E72"/>
    <w:rsid w:val="00FB6FAF"/>
    <w:rsid w:val="00FC2045"/>
    <w:rsid w:val="00FC2CCA"/>
    <w:rsid w:val="00FC7F78"/>
    <w:rsid w:val="00FE0E7E"/>
    <w:rsid w:val="00FE1518"/>
    <w:rsid w:val="00FE2BD2"/>
    <w:rsid w:val="00FE551D"/>
    <w:rsid w:val="00FE6849"/>
    <w:rsid w:val="00FE7D74"/>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EFCD"/>
  <w15:chartTrackingRefBased/>
  <w15:docId w15:val="{6C9BE754-7942-724B-B405-BFE8FF3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9B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D8"/>
    <w:pPr>
      <w:ind w:left="720"/>
      <w:contextualSpacing/>
    </w:pPr>
  </w:style>
  <w:style w:type="character" w:styleId="CommentReference">
    <w:name w:val="annotation reference"/>
    <w:basedOn w:val="DefaultParagraphFont"/>
    <w:uiPriority w:val="99"/>
    <w:semiHidden/>
    <w:unhideWhenUsed/>
    <w:rsid w:val="00E60AD8"/>
    <w:rPr>
      <w:sz w:val="16"/>
      <w:szCs w:val="16"/>
    </w:rPr>
  </w:style>
  <w:style w:type="paragraph" w:styleId="CommentText">
    <w:name w:val="annotation text"/>
    <w:basedOn w:val="Normal"/>
    <w:link w:val="CommentTextChar"/>
    <w:uiPriority w:val="99"/>
    <w:unhideWhenUsed/>
    <w:rsid w:val="00E60AD8"/>
    <w:pPr>
      <w:spacing w:line="240" w:lineRule="auto"/>
    </w:pPr>
    <w:rPr>
      <w:sz w:val="20"/>
      <w:szCs w:val="20"/>
    </w:rPr>
  </w:style>
  <w:style w:type="character" w:customStyle="1" w:styleId="CommentTextChar">
    <w:name w:val="Comment Text Char"/>
    <w:basedOn w:val="DefaultParagraphFont"/>
    <w:link w:val="CommentText"/>
    <w:uiPriority w:val="99"/>
    <w:rsid w:val="00E60AD8"/>
    <w:rPr>
      <w:sz w:val="20"/>
      <w:szCs w:val="20"/>
    </w:rPr>
  </w:style>
  <w:style w:type="paragraph" w:styleId="Footer">
    <w:name w:val="footer"/>
    <w:basedOn w:val="Normal"/>
    <w:link w:val="FooterChar"/>
    <w:uiPriority w:val="99"/>
    <w:unhideWhenUsed/>
    <w:rsid w:val="00E6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AD8"/>
    <w:rPr>
      <w:sz w:val="22"/>
      <w:szCs w:val="22"/>
    </w:rPr>
  </w:style>
  <w:style w:type="paragraph" w:styleId="Header">
    <w:name w:val="header"/>
    <w:basedOn w:val="Normal"/>
    <w:link w:val="HeaderChar"/>
    <w:uiPriority w:val="99"/>
    <w:unhideWhenUsed/>
    <w:rsid w:val="00E6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AD8"/>
    <w:rPr>
      <w:sz w:val="22"/>
      <w:szCs w:val="22"/>
    </w:rPr>
  </w:style>
  <w:style w:type="character" w:styleId="Hyperlink">
    <w:name w:val="Hyperlink"/>
    <w:basedOn w:val="DefaultParagraphFont"/>
    <w:uiPriority w:val="99"/>
    <w:unhideWhenUsed/>
    <w:rsid w:val="00E60AD8"/>
    <w:rPr>
      <w:color w:val="0563C1" w:themeColor="hyperlink"/>
      <w:u w:val="single"/>
    </w:rPr>
  </w:style>
  <w:style w:type="table" w:styleId="TableGrid">
    <w:name w:val="Table Grid"/>
    <w:basedOn w:val="TableNormal"/>
    <w:uiPriority w:val="59"/>
    <w:rsid w:val="00BE12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7314"/>
    <w:rPr>
      <w:sz w:val="22"/>
      <w:szCs w:val="22"/>
    </w:rPr>
  </w:style>
  <w:style w:type="paragraph" w:styleId="CommentSubject">
    <w:name w:val="annotation subject"/>
    <w:basedOn w:val="CommentText"/>
    <w:next w:val="CommentText"/>
    <w:link w:val="CommentSubjectChar"/>
    <w:uiPriority w:val="99"/>
    <w:semiHidden/>
    <w:unhideWhenUsed/>
    <w:rsid w:val="00B56B40"/>
    <w:rPr>
      <w:b/>
      <w:bCs/>
    </w:rPr>
  </w:style>
  <w:style w:type="character" w:customStyle="1" w:styleId="CommentSubjectChar">
    <w:name w:val="Comment Subject Char"/>
    <w:basedOn w:val="CommentTextChar"/>
    <w:link w:val="CommentSubject"/>
    <w:uiPriority w:val="99"/>
    <w:semiHidden/>
    <w:rsid w:val="00B56B40"/>
    <w:rPr>
      <w:b/>
      <w:bCs/>
      <w:sz w:val="20"/>
      <w:szCs w:val="20"/>
    </w:rPr>
  </w:style>
  <w:style w:type="paragraph" w:styleId="BalloonText">
    <w:name w:val="Balloon Text"/>
    <w:basedOn w:val="Normal"/>
    <w:link w:val="BalloonTextChar"/>
    <w:uiPriority w:val="99"/>
    <w:semiHidden/>
    <w:unhideWhenUsed/>
    <w:rsid w:val="007E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86"/>
    <w:rPr>
      <w:rFonts w:ascii="Tahoma" w:hAnsi="Tahoma" w:cs="Tahoma"/>
      <w:sz w:val="16"/>
      <w:szCs w:val="16"/>
    </w:rPr>
  </w:style>
  <w:style w:type="character" w:styleId="UnresolvedMention">
    <w:name w:val="Unresolved Mention"/>
    <w:basedOn w:val="DefaultParagraphFont"/>
    <w:uiPriority w:val="99"/>
    <w:semiHidden/>
    <w:unhideWhenUsed/>
    <w:rsid w:val="00DE5FD7"/>
    <w:rPr>
      <w:color w:val="605E5C"/>
      <w:shd w:val="clear" w:color="auto" w:fill="E1DFDD"/>
    </w:rPr>
  </w:style>
  <w:style w:type="character" w:styleId="FollowedHyperlink">
    <w:name w:val="FollowedHyperlink"/>
    <w:basedOn w:val="DefaultParagraphFont"/>
    <w:uiPriority w:val="99"/>
    <w:semiHidden/>
    <w:unhideWhenUsed/>
    <w:rsid w:val="00576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06438">
      <w:bodyDiv w:val="1"/>
      <w:marLeft w:val="0"/>
      <w:marRight w:val="0"/>
      <w:marTop w:val="0"/>
      <w:marBottom w:val="0"/>
      <w:divBdr>
        <w:top w:val="none" w:sz="0" w:space="0" w:color="auto"/>
        <w:left w:val="none" w:sz="0" w:space="0" w:color="auto"/>
        <w:bottom w:val="none" w:sz="0" w:space="0" w:color="auto"/>
        <w:right w:val="none" w:sz="0" w:space="0" w:color="auto"/>
      </w:divBdr>
    </w:div>
    <w:div w:id="759519451">
      <w:bodyDiv w:val="1"/>
      <w:marLeft w:val="0"/>
      <w:marRight w:val="0"/>
      <w:marTop w:val="0"/>
      <w:marBottom w:val="0"/>
      <w:divBdr>
        <w:top w:val="none" w:sz="0" w:space="0" w:color="auto"/>
        <w:left w:val="none" w:sz="0" w:space="0" w:color="auto"/>
        <w:bottom w:val="none" w:sz="0" w:space="0" w:color="auto"/>
        <w:right w:val="none" w:sz="0" w:space="0" w:color="auto"/>
      </w:divBdr>
      <w:divsChild>
        <w:div w:id="1938825593">
          <w:marLeft w:val="547"/>
          <w:marRight w:val="0"/>
          <w:marTop w:val="0"/>
          <w:marBottom w:val="0"/>
          <w:divBdr>
            <w:top w:val="none" w:sz="0" w:space="0" w:color="auto"/>
            <w:left w:val="none" w:sz="0" w:space="0" w:color="auto"/>
            <w:bottom w:val="none" w:sz="0" w:space="0" w:color="auto"/>
            <w:right w:val="none" w:sz="0" w:space="0" w:color="auto"/>
          </w:divBdr>
        </w:div>
        <w:div w:id="93985208">
          <w:marLeft w:val="1166"/>
          <w:marRight w:val="0"/>
          <w:marTop w:val="0"/>
          <w:marBottom w:val="0"/>
          <w:divBdr>
            <w:top w:val="none" w:sz="0" w:space="0" w:color="auto"/>
            <w:left w:val="none" w:sz="0" w:space="0" w:color="auto"/>
            <w:bottom w:val="none" w:sz="0" w:space="0" w:color="auto"/>
            <w:right w:val="none" w:sz="0" w:space="0" w:color="auto"/>
          </w:divBdr>
        </w:div>
        <w:div w:id="2025551521">
          <w:marLeft w:val="1166"/>
          <w:marRight w:val="0"/>
          <w:marTop w:val="0"/>
          <w:marBottom w:val="0"/>
          <w:divBdr>
            <w:top w:val="none" w:sz="0" w:space="0" w:color="auto"/>
            <w:left w:val="none" w:sz="0" w:space="0" w:color="auto"/>
            <w:bottom w:val="none" w:sz="0" w:space="0" w:color="auto"/>
            <w:right w:val="none" w:sz="0" w:space="0" w:color="auto"/>
          </w:divBdr>
        </w:div>
        <w:div w:id="115607956">
          <w:marLeft w:val="1166"/>
          <w:marRight w:val="0"/>
          <w:marTop w:val="0"/>
          <w:marBottom w:val="0"/>
          <w:divBdr>
            <w:top w:val="none" w:sz="0" w:space="0" w:color="auto"/>
            <w:left w:val="none" w:sz="0" w:space="0" w:color="auto"/>
            <w:bottom w:val="none" w:sz="0" w:space="0" w:color="auto"/>
            <w:right w:val="none" w:sz="0" w:space="0" w:color="auto"/>
          </w:divBdr>
        </w:div>
        <w:div w:id="1858352909">
          <w:marLeft w:val="1166"/>
          <w:marRight w:val="0"/>
          <w:marTop w:val="0"/>
          <w:marBottom w:val="0"/>
          <w:divBdr>
            <w:top w:val="none" w:sz="0" w:space="0" w:color="auto"/>
            <w:left w:val="none" w:sz="0" w:space="0" w:color="auto"/>
            <w:bottom w:val="none" w:sz="0" w:space="0" w:color="auto"/>
            <w:right w:val="none" w:sz="0" w:space="0" w:color="auto"/>
          </w:divBdr>
        </w:div>
        <w:div w:id="946424234">
          <w:marLeft w:val="1166"/>
          <w:marRight w:val="0"/>
          <w:marTop w:val="0"/>
          <w:marBottom w:val="0"/>
          <w:divBdr>
            <w:top w:val="none" w:sz="0" w:space="0" w:color="auto"/>
            <w:left w:val="none" w:sz="0" w:space="0" w:color="auto"/>
            <w:bottom w:val="none" w:sz="0" w:space="0" w:color="auto"/>
            <w:right w:val="none" w:sz="0" w:space="0" w:color="auto"/>
          </w:divBdr>
        </w:div>
        <w:div w:id="229779310">
          <w:marLeft w:val="1166"/>
          <w:marRight w:val="0"/>
          <w:marTop w:val="0"/>
          <w:marBottom w:val="0"/>
          <w:divBdr>
            <w:top w:val="none" w:sz="0" w:space="0" w:color="auto"/>
            <w:left w:val="none" w:sz="0" w:space="0" w:color="auto"/>
            <w:bottom w:val="none" w:sz="0" w:space="0" w:color="auto"/>
            <w:right w:val="none" w:sz="0" w:space="0" w:color="auto"/>
          </w:divBdr>
        </w:div>
        <w:div w:id="1584946594">
          <w:marLeft w:val="1166"/>
          <w:marRight w:val="0"/>
          <w:marTop w:val="0"/>
          <w:marBottom w:val="0"/>
          <w:divBdr>
            <w:top w:val="none" w:sz="0" w:space="0" w:color="auto"/>
            <w:left w:val="none" w:sz="0" w:space="0" w:color="auto"/>
            <w:bottom w:val="none" w:sz="0" w:space="0" w:color="auto"/>
            <w:right w:val="none" w:sz="0" w:space="0" w:color="auto"/>
          </w:divBdr>
        </w:div>
        <w:div w:id="1044332865">
          <w:marLeft w:val="1166"/>
          <w:marRight w:val="0"/>
          <w:marTop w:val="0"/>
          <w:marBottom w:val="0"/>
          <w:divBdr>
            <w:top w:val="none" w:sz="0" w:space="0" w:color="auto"/>
            <w:left w:val="none" w:sz="0" w:space="0" w:color="auto"/>
            <w:bottom w:val="none" w:sz="0" w:space="0" w:color="auto"/>
            <w:right w:val="none" w:sz="0" w:space="0" w:color="auto"/>
          </w:divBdr>
        </w:div>
        <w:div w:id="1205797999">
          <w:marLeft w:val="1166"/>
          <w:marRight w:val="0"/>
          <w:marTop w:val="0"/>
          <w:marBottom w:val="0"/>
          <w:divBdr>
            <w:top w:val="none" w:sz="0" w:space="0" w:color="auto"/>
            <w:left w:val="none" w:sz="0" w:space="0" w:color="auto"/>
            <w:bottom w:val="none" w:sz="0" w:space="0" w:color="auto"/>
            <w:right w:val="none" w:sz="0" w:space="0" w:color="auto"/>
          </w:divBdr>
        </w:div>
      </w:divsChild>
    </w:div>
    <w:div w:id="937450500">
      <w:bodyDiv w:val="1"/>
      <w:marLeft w:val="0"/>
      <w:marRight w:val="0"/>
      <w:marTop w:val="0"/>
      <w:marBottom w:val="0"/>
      <w:divBdr>
        <w:top w:val="none" w:sz="0" w:space="0" w:color="auto"/>
        <w:left w:val="none" w:sz="0" w:space="0" w:color="auto"/>
        <w:bottom w:val="none" w:sz="0" w:space="0" w:color="auto"/>
        <w:right w:val="none" w:sz="0" w:space="0" w:color="auto"/>
      </w:divBdr>
      <w:divsChild>
        <w:div w:id="8312605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ysabrihcp.com/content/dam/commercial/tysabri/hcp/en_us/pdf/tysabri_prescribing_information.pdf" TargetMode="External"/><Relationship Id="rId5" Type="http://schemas.openxmlformats.org/officeDocument/2006/relationships/footnotes" Target="footnotes.xml"/><Relationship Id="rId10" Type="http://schemas.openxmlformats.org/officeDocument/2006/relationships/hyperlink" Target="https://www.tysabrihcp.com/content/dam/commercial/tysabri/hcp/en_us/pdf/tysabri_prescribing_information.pdf"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b7466bb-fe1d-47a0-b943-8ded565c8e54}" enabled="0" method="" siteId="{7b7466bb-fe1d-47a0-b943-8ded565c8e54}"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Haley</dc:creator>
  <cp:keywords/>
  <dc:description/>
  <cp:lastModifiedBy>Puanoa Higginson</cp:lastModifiedBy>
  <cp:revision>6</cp:revision>
  <cp:lastPrinted>2023-02-23T23:36:00Z</cp:lastPrinted>
  <dcterms:created xsi:type="dcterms:W3CDTF">2024-07-10T17:31:00Z</dcterms:created>
  <dcterms:modified xsi:type="dcterms:W3CDTF">2024-08-05T13:47:00Z</dcterms:modified>
</cp:coreProperties>
</file>